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7425" w:rsidRPr="00445879" w:rsidRDefault="006D57C7">
      <w:pPr>
        <w:pStyle w:val="TOC1"/>
        <w:rPr>
          <w:rFonts w:ascii="Calibri" w:hAnsi="Calibri"/>
          <w:b w:val="0"/>
          <w:bCs w:val="0"/>
          <w:sz w:val="22"/>
          <w:szCs w:val="22"/>
        </w:rPr>
      </w:pPr>
      <w:r>
        <w:rPr>
          <w:rFonts w:cs="Arial"/>
        </w:rPr>
        <w:fldChar w:fldCharType="begin"/>
      </w:r>
      <w:r>
        <w:rPr>
          <w:rFonts w:cs="Arial"/>
        </w:rPr>
        <w:instrText xml:space="preserve"> TOC \o "1-3" \h \z </w:instrText>
      </w:r>
      <w:r>
        <w:rPr>
          <w:rFonts w:cs="Arial"/>
        </w:rPr>
        <w:fldChar w:fldCharType="separate"/>
      </w:r>
      <w:hyperlink w:anchor="_Toc405374382" w:history="1">
        <w:r w:rsidR="00A07425" w:rsidRPr="004726CC">
          <w:rPr>
            <w:rStyle w:val="Hyperlink"/>
          </w:rPr>
          <w:t>406.01</w:t>
        </w:r>
        <w:r w:rsidR="00A07425" w:rsidRPr="00445879">
          <w:rPr>
            <w:rFonts w:ascii="Calibri" w:hAnsi="Calibri"/>
            <w:b w:val="0"/>
            <w:bCs w:val="0"/>
            <w:sz w:val="22"/>
            <w:szCs w:val="22"/>
          </w:rPr>
          <w:tab/>
        </w:r>
        <w:r w:rsidR="00A07425" w:rsidRPr="004726CC">
          <w:rPr>
            <w:rStyle w:val="Hyperlink"/>
          </w:rPr>
          <w:t>Introduction</w:t>
        </w:r>
        <w:r w:rsidR="00A07425">
          <w:rPr>
            <w:webHidden/>
          </w:rPr>
          <w:tab/>
        </w:r>
        <w:r w:rsidR="00A07425">
          <w:rPr>
            <w:webHidden/>
          </w:rPr>
          <w:fldChar w:fldCharType="begin"/>
        </w:r>
        <w:r w:rsidR="00A07425">
          <w:rPr>
            <w:webHidden/>
          </w:rPr>
          <w:instrText xml:space="preserve"> PAGEREF _Toc405374382 \h </w:instrText>
        </w:r>
        <w:r w:rsidR="00A07425">
          <w:rPr>
            <w:webHidden/>
          </w:rPr>
        </w:r>
        <w:r w:rsidR="00A07425">
          <w:rPr>
            <w:webHidden/>
          </w:rPr>
          <w:fldChar w:fldCharType="separate"/>
        </w:r>
        <w:r w:rsidR="00A07425">
          <w:rPr>
            <w:webHidden/>
          </w:rPr>
          <w:t>2</w:t>
        </w:r>
        <w:r w:rsidR="00A07425">
          <w:rPr>
            <w:webHidden/>
          </w:rPr>
          <w:fldChar w:fldCharType="end"/>
        </w:r>
      </w:hyperlink>
    </w:p>
    <w:p w:rsidR="00A07425" w:rsidRPr="00445879" w:rsidRDefault="00A07425">
      <w:pPr>
        <w:pStyle w:val="TOC1"/>
        <w:rPr>
          <w:rFonts w:ascii="Calibri" w:hAnsi="Calibri"/>
          <w:b w:val="0"/>
          <w:bCs w:val="0"/>
          <w:sz w:val="22"/>
          <w:szCs w:val="22"/>
        </w:rPr>
      </w:pPr>
      <w:hyperlink w:anchor="_Toc405374383" w:history="1">
        <w:r w:rsidRPr="004726CC">
          <w:rPr>
            <w:rStyle w:val="Hyperlink"/>
          </w:rPr>
          <w:t>406.02</w:t>
        </w:r>
        <w:r w:rsidRPr="00445879">
          <w:rPr>
            <w:rFonts w:ascii="Calibri" w:hAnsi="Calibri"/>
            <w:b w:val="0"/>
            <w:bCs w:val="0"/>
            <w:sz w:val="22"/>
            <w:szCs w:val="22"/>
          </w:rPr>
          <w:tab/>
        </w:r>
        <w:r w:rsidRPr="004726CC">
          <w:rPr>
            <w:rStyle w:val="Hyperlink"/>
          </w:rPr>
          <w:t>Eligibility Criteria</w:t>
        </w:r>
        <w:r>
          <w:rPr>
            <w:webHidden/>
          </w:rPr>
          <w:tab/>
        </w:r>
        <w:r>
          <w:rPr>
            <w:webHidden/>
          </w:rPr>
          <w:fldChar w:fldCharType="begin"/>
        </w:r>
        <w:r>
          <w:rPr>
            <w:webHidden/>
          </w:rPr>
          <w:instrText xml:space="preserve"> PAGEREF _Toc405374383 \h </w:instrText>
        </w:r>
        <w:r>
          <w:rPr>
            <w:webHidden/>
          </w:rPr>
        </w:r>
        <w:r>
          <w:rPr>
            <w:webHidden/>
          </w:rPr>
          <w:fldChar w:fldCharType="separate"/>
        </w:r>
        <w:r>
          <w:rPr>
            <w:webHidden/>
          </w:rPr>
          <w:t>2</w:t>
        </w:r>
        <w:r>
          <w:rPr>
            <w:webHidden/>
          </w:rPr>
          <w:fldChar w:fldCharType="end"/>
        </w:r>
      </w:hyperlink>
    </w:p>
    <w:p w:rsidR="00A07425" w:rsidRPr="00445879" w:rsidRDefault="00A07425">
      <w:pPr>
        <w:pStyle w:val="TOC1"/>
        <w:rPr>
          <w:rFonts w:ascii="Calibri" w:hAnsi="Calibri"/>
          <w:b w:val="0"/>
          <w:bCs w:val="0"/>
          <w:sz w:val="22"/>
          <w:szCs w:val="22"/>
        </w:rPr>
      </w:pPr>
      <w:hyperlink w:anchor="_Toc405374384" w:history="1">
        <w:r w:rsidRPr="004726CC">
          <w:rPr>
            <w:rStyle w:val="Hyperlink"/>
          </w:rPr>
          <w:t>406.03</w:t>
        </w:r>
        <w:r w:rsidRPr="00445879">
          <w:rPr>
            <w:rFonts w:ascii="Calibri" w:hAnsi="Calibri"/>
            <w:b w:val="0"/>
            <w:bCs w:val="0"/>
            <w:sz w:val="22"/>
            <w:szCs w:val="22"/>
          </w:rPr>
          <w:tab/>
        </w:r>
        <w:r w:rsidRPr="004726CC">
          <w:rPr>
            <w:rStyle w:val="Hyperlink"/>
          </w:rPr>
          <w:t>December 1973 Eligibility Criteria</w:t>
        </w:r>
        <w:r>
          <w:rPr>
            <w:webHidden/>
          </w:rPr>
          <w:tab/>
        </w:r>
        <w:r>
          <w:rPr>
            <w:webHidden/>
          </w:rPr>
          <w:fldChar w:fldCharType="begin"/>
        </w:r>
        <w:r>
          <w:rPr>
            <w:webHidden/>
          </w:rPr>
          <w:instrText xml:space="preserve"> PAGEREF _Toc405374384 \h </w:instrText>
        </w:r>
        <w:r>
          <w:rPr>
            <w:webHidden/>
          </w:rPr>
        </w:r>
        <w:r>
          <w:rPr>
            <w:webHidden/>
          </w:rPr>
          <w:fldChar w:fldCharType="separate"/>
        </w:r>
        <w:r>
          <w:rPr>
            <w:webHidden/>
          </w:rPr>
          <w:t>2</w:t>
        </w:r>
        <w:r>
          <w:rPr>
            <w:webHidden/>
          </w:rPr>
          <w:fldChar w:fldCharType="end"/>
        </w:r>
      </w:hyperlink>
    </w:p>
    <w:p w:rsidR="00A07425" w:rsidRPr="00445879" w:rsidRDefault="00A07425">
      <w:pPr>
        <w:pStyle w:val="TOC2"/>
        <w:tabs>
          <w:tab w:val="left" w:pos="2160"/>
        </w:tabs>
        <w:rPr>
          <w:rFonts w:ascii="Calibri" w:hAnsi="Calibri" w:cs="Times New Roman"/>
          <w:sz w:val="22"/>
          <w:szCs w:val="22"/>
        </w:rPr>
      </w:pPr>
      <w:hyperlink w:anchor="_Toc405374385" w:history="1">
        <w:r w:rsidRPr="004726CC">
          <w:rPr>
            <w:rStyle w:val="Hyperlink"/>
          </w:rPr>
          <w:t>406.03.01</w:t>
        </w:r>
        <w:r w:rsidRPr="00445879">
          <w:rPr>
            <w:rFonts w:ascii="Calibri" w:hAnsi="Calibri" w:cs="Times New Roman"/>
            <w:sz w:val="22"/>
            <w:szCs w:val="22"/>
          </w:rPr>
          <w:tab/>
        </w:r>
        <w:r w:rsidRPr="004726CC">
          <w:rPr>
            <w:rStyle w:val="Hyperlink"/>
          </w:rPr>
          <w:t>Need Standards</w:t>
        </w:r>
        <w:r>
          <w:rPr>
            <w:webHidden/>
          </w:rPr>
          <w:tab/>
        </w:r>
        <w:r>
          <w:rPr>
            <w:webHidden/>
          </w:rPr>
          <w:fldChar w:fldCharType="begin"/>
        </w:r>
        <w:r>
          <w:rPr>
            <w:webHidden/>
          </w:rPr>
          <w:instrText xml:space="preserve"> PAGEREF _Toc405374385 \h </w:instrText>
        </w:r>
        <w:r>
          <w:rPr>
            <w:webHidden/>
          </w:rPr>
        </w:r>
        <w:r>
          <w:rPr>
            <w:webHidden/>
          </w:rPr>
          <w:fldChar w:fldCharType="separate"/>
        </w:r>
        <w:r>
          <w:rPr>
            <w:webHidden/>
          </w:rPr>
          <w:t>2</w:t>
        </w:r>
        <w:r>
          <w:rPr>
            <w:webHidden/>
          </w:rPr>
          <w:fldChar w:fldCharType="end"/>
        </w:r>
      </w:hyperlink>
    </w:p>
    <w:p w:rsidR="00A07425" w:rsidRPr="00445879" w:rsidRDefault="00A07425">
      <w:pPr>
        <w:pStyle w:val="TOC2"/>
        <w:tabs>
          <w:tab w:val="left" w:pos="2160"/>
        </w:tabs>
        <w:rPr>
          <w:rFonts w:ascii="Calibri" w:hAnsi="Calibri" w:cs="Times New Roman"/>
          <w:sz w:val="22"/>
          <w:szCs w:val="22"/>
        </w:rPr>
      </w:pPr>
      <w:hyperlink w:anchor="_Toc405374386" w:history="1">
        <w:r w:rsidRPr="004726CC">
          <w:rPr>
            <w:rStyle w:val="Hyperlink"/>
          </w:rPr>
          <w:t>406.03.02</w:t>
        </w:r>
        <w:r w:rsidRPr="00445879">
          <w:rPr>
            <w:rFonts w:ascii="Calibri" w:hAnsi="Calibri" w:cs="Times New Roman"/>
            <w:sz w:val="22"/>
            <w:szCs w:val="22"/>
          </w:rPr>
          <w:tab/>
        </w:r>
        <w:r w:rsidRPr="004726CC">
          <w:rPr>
            <w:rStyle w:val="Hyperlink"/>
          </w:rPr>
          <w:t>Income Standards</w:t>
        </w:r>
        <w:r>
          <w:rPr>
            <w:webHidden/>
          </w:rPr>
          <w:tab/>
        </w:r>
        <w:r>
          <w:rPr>
            <w:webHidden/>
          </w:rPr>
          <w:fldChar w:fldCharType="begin"/>
        </w:r>
        <w:r>
          <w:rPr>
            <w:webHidden/>
          </w:rPr>
          <w:instrText xml:space="preserve"> PAGEREF _Toc405374386 \h </w:instrText>
        </w:r>
        <w:r>
          <w:rPr>
            <w:webHidden/>
          </w:rPr>
        </w:r>
        <w:r>
          <w:rPr>
            <w:webHidden/>
          </w:rPr>
          <w:fldChar w:fldCharType="separate"/>
        </w:r>
        <w:r>
          <w:rPr>
            <w:webHidden/>
          </w:rPr>
          <w:t>3</w:t>
        </w:r>
        <w:r>
          <w:rPr>
            <w:webHidden/>
          </w:rPr>
          <w:fldChar w:fldCharType="end"/>
        </w:r>
      </w:hyperlink>
    </w:p>
    <w:p w:rsidR="00A07425" w:rsidRPr="00445879" w:rsidRDefault="00A07425">
      <w:pPr>
        <w:pStyle w:val="TOC2"/>
        <w:tabs>
          <w:tab w:val="left" w:pos="2160"/>
        </w:tabs>
        <w:rPr>
          <w:rFonts w:ascii="Calibri" w:hAnsi="Calibri" w:cs="Times New Roman"/>
          <w:sz w:val="22"/>
          <w:szCs w:val="22"/>
        </w:rPr>
      </w:pPr>
      <w:hyperlink w:anchor="_Toc405374387" w:history="1">
        <w:r w:rsidRPr="004726CC">
          <w:rPr>
            <w:rStyle w:val="Hyperlink"/>
          </w:rPr>
          <w:t>406.03.03</w:t>
        </w:r>
        <w:r w:rsidRPr="00445879">
          <w:rPr>
            <w:rFonts w:ascii="Calibri" w:hAnsi="Calibri" w:cs="Times New Roman"/>
            <w:sz w:val="22"/>
            <w:szCs w:val="22"/>
          </w:rPr>
          <w:tab/>
        </w:r>
        <w:r w:rsidRPr="004726CC">
          <w:rPr>
            <w:rStyle w:val="Hyperlink"/>
          </w:rPr>
          <w:t>Resources</w:t>
        </w:r>
        <w:r>
          <w:rPr>
            <w:webHidden/>
          </w:rPr>
          <w:tab/>
        </w:r>
        <w:r>
          <w:rPr>
            <w:webHidden/>
          </w:rPr>
          <w:fldChar w:fldCharType="begin"/>
        </w:r>
        <w:r>
          <w:rPr>
            <w:webHidden/>
          </w:rPr>
          <w:instrText xml:space="preserve"> PAGEREF _Toc405374387 \h </w:instrText>
        </w:r>
        <w:r>
          <w:rPr>
            <w:webHidden/>
          </w:rPr>
        </w:r>
        <w:r>
          <w:rPr>
            <w:webHidden/>
          </w:rPr>
          <w:fldChar w:fldCharType="separate"/>
        </w:r>
        <w:r>
          <w:rPr>
            <w:webHidden/>
          </w:rPr>
          <w:t>5</w:t>
        </w:r>
        <w:r>
          <w:rPr>
            <w:webHidden/>
          </w:rPr>
          <w:fldChar w:fldCharType="end"/>
        </w:r>
      </w:hyperlink>
    </w:p>
    <w:p w:rsidR="006D57C7" w:rsidRDefault="006D57C7">
      <w:pPr>
        <w:pStyle w:val="BodyText2"/>
      </w:pPr>
      <w:r>
        <w:rPr>
          <w:b/>
          <w:bCs/>
        </w:rPr>
        <w:fldChar w:fldCharType="end"/>
      </w:r>
    </w:p>
    <w:p w:rsidR="00A07425" w:rsidRDefault="006D57C7">
      <w:pPr>
        <w:pStyle w:val="ManualHeading1"/>
      </w:pPr>
      <w:r>
        <w:br w:type="page"/>
      </w:r>
      <w:bookmarkStart w:id="1" w:name="_Toc405374382"/>
      <w:r>
        <w:lastRenderedPageBreak/>
        <w:t>406.01</w:t>
      </w:r>
      <w:r>
        <w:tab/>
        <w:t>Introduction</w:t>
      </w:r>
      <w:bookmarkEnd w:id="1"/>
    </w:p>
    <w:p w:rsidR="006D57C7" w:rsidRPr="00A07425" w:rsidRDefault="00A07425" w:rsidP="00A07425">
      <w:pPr>
        <w:pStyle w:val="BodyText2"/>
        <w:jc w:val="right"/>
        <w:rPr>
          <w:sz w:val="16"/>
        </w:rPr>
      </w:pPr>
      <w:r>
        <w:rPr>
          <w:sz w:val="16"/>
        </w:rPr>
        <w:t>(Eff. 1</w:t>
      </w:r>
      <w:r w:rsidR="006D57C7" w:rsidRPr="00A07425">
        <w:rPr>
          <w:sz w:val="16"/>
        </w:rPr>
        <w:t>1/01/</w:t>
      </w:r>
      <w:r>
        <w:rPr>
          <w:sz w:val="16"/>
        </w:rPr>
        <w:t>14</w:t>
      </w:r>
      <w:r w:rsidR="006D57C7" w:rsidRPr="00A07425">
        <w:rPr>
          <w:sz w:val="16"/>
        </w:rPr>
        <w:t>)</w:t>
      </w:r>
    </w:p>
    <w:p w:rsidR="006D57C7" w:rsidRDefault="006D57C7">
      <w:pPr>
        <w:jc w:val="both"/>
        <w:rPr>
          <w:rFonts w:ascii="Arial" w:hAnsi="Arial" w:cs="Arial"/>
        </w:rPr>
      </w:pPr>
      <w:r>
        <w:rPr>
          <w:rFonts w:ascii="Arial" w:hAnsi="Arial" w:cs="Arial"/>
        </w:rPr>
        <w:t>Essential spouses are individuals whose needs were included in their spouse’s state assistance grant in December 1973. They were “grand-fathered” into the SSI program. They are eligible for Medicaid as long as they continue to qualify as an essential spouse.</w:t>
      </w:r>
    </w:p>
    <w:p w:rsidR="006D57C7" w:rsidRDefault="006D57C7">
      <w:pPr>
        <w:ind w:left="900"/>
        <w:jc w:val="both"/>
        <w:rPr>
          <w:rFonts w:ascii="Arial" w:hAnsi="Arial" w:cs="Arial"/>
        </w:rPr>
      </w:pPr>
    </w:p>
    <w:p w:rsidR="006D57C7" w:rsidRDefault="006D57C7">
      <w:pPr>
        <w:pStyle w:val="ManualHeading1"/>
        <w:rPr>
          <w:sz w:val="16"/>
        </w:rPr>
      </w:pPr>
      <w:bookmarkStart w:id="2" w:name="_Toc405374383"/>
      <w:r>
        <w:t>406.02</w:t>
      </w:r>
      <w:r>
        <w:tab/>
        <w:t>Eligibility Criteria</w:t>
      </w:r>
      <w:bookmarkEnd w:id="2"/>
    </w:p>
    <w:p w:rsidR="00A07425" w:rsidRPr="00A07425" w:rsidRDefault="00A07425" w:rsidP="00A07425">
      <w:pPr>
        <w:pStyle w:val="BodyText2"/>
        <w:jc w:val="right"/>
        <w:rPr>
          <w:sz w:val="16"/>
        </w:rPr>
      </w:pPr>
      <w:r w:rsidRPr="00A07425">
        <w:rPr>
          <w:sz w:val="16"/>
        </w:rPr>
        <w:t>(Eff. 01/01/06)</w:t>
      </w:r>
    </w:p>
    <w:p w:rsidR="006D57C7" w:rsidRDefault="006D57C7">
      <w:pPr>
        <w:pStyle w:val="BodyText2"/>
      </w:pPr>
      <w:r>
        <w:t xml:space="preserve">Both the essential spouse and the SSI eligible person with whom he/she lives must continue to meet the eligibility criteria that were in effect in December 1973. To receive financial assistance in December 1973, the individual would have had to qualify for either the Old Age Assistance (OAA), Aid to the Needy Blind (ANB), or the Totally and Permanently Disabled (TPD) programs. </w:t>
      </w:r>
    </w:p>
    <w:p w:rsidR="006D57C7" w:rsidRDefault="006D57C7">
      <w:pPr>
        <w:pStyle w:val="BodyText2"/>
      </w:pPr>
    </w:p>
    <w:p w:rsidR="006D57C7" w:rsidRDefault="006D57C7">
      <w:pPr>
        <w:pStyle w:val="BodyText2"/>
      </w:pPr>
      <w:r>
        <w:t>The essential spouse must continue to be the spouse of and live with the SSI eligible person and be essential to the well being of the other spouse.</w:t>
      </w:r>
    </w:p>
    <w:p w:rsidR="006D57C7" w:rsidRDefault="006D57C7">
      <w:pPr>
        <w:pStyle w:val="BodyTextIndent2"/>
        <w:rPr>
          <w:rFonts w:ascii="Arial" w:hAnsi="Arial" w:cs="Arial"/>
          <w:b/>
        </w:rPr>
      </w:pPr>
    </w:p>
    <w:p w:rsidR="006D57C7" w:rsidRDefault="006D57C7">
      <w:pPr>
        <w:pStyle w:val="BodyTextIndent2"/>
        <w:ind w:firstLine="0"/>
        <w:rPr>
          <w:rFonts w:ascii="Arial" w:hAnsi="Arial" w:cs="Arial"/>
          <w:b/>
          <w:bCs/>
        </w:rPr>
      </w:pPr>
      <w:r>
        <w:rPr>
          <w:rFonts w:ascii="Arial" w:hAnsi="Arial" w:cs="Arial"/>
          <w:b/>
          <w:bCs/>
        </w:rPr>
        <w:t>Note: Essential persons who are not spouses of SSI recipients are ineligible for Medicaid. These persons were “grand-fathered” into the SSI program for payment purposes, but not for Medicaid.</w:t>
      </w:r>
    </w:p>
    <w:p w:rsidR="006D57C7" w:rsidRDefault="006D57C7">
      <w:pPr>
        <w:jc w:val="both"/>
        <w:rPr>
          <w:rFonts w:ascii="Arial" w:hAnsi="Arial" w:cs="Arial"/>
        </w:rPr>
      </w:pPr>
    </w:p>
    <w:p w:rsidR="006D57C7" w:rsidRDefault="006D57C7">
      <w:pPr>
        <w:pStyle w:val="ManualHeading1"/>
        <w:rPr>
          <w:sz w:val="16"/>
        </w:rPr>
      </w:pPr>
      <w:bookmarkStart w:id="3" w:name="_Toc405374384"/>
      <w:r>
        <w:t>406.03</w:t>
      </w:r>
      <w:r>
        <w:tab/>
        <w:t>December 1973 Eligibility Criteria</w:t>
      </w:r>
      <w:bookmarkEnd w:id="3"/>
    </w:p>
    <w:p w:rsidR="006D57C7" w:rsidRPr="00A07425" w:rsidRDefault="00A07425" w:rsidP="00A07425">
      <w:pPr>
        <w:pStyle w:val="BodyText2"/>
        <w:jc w:val="right"/>
        <w:rPr>
          <w:sz w:val="16"/>
        </w:rPr>
      </w:pPr>
      <w:r w:rsidRPr="00A07425">
        <w:rPr>
          <w:sz w:val="16"/>
        </w:rPr>
        <w:t>(Eff. 01/01/06)</w:t>
      </w:r>
    </w:p>
    <w:p w:rsidR="006D57C7" w:rsidRDefault="006D57C7">
      <w:pPr>
        <w:jc w:val="both"/>
        <w:rPr>
          <w:rFonts w:ascii="Arial" w:hAnsi="Arial" w:cs="Arial"/>
          <w:bCs/>
        </w:rPr>
      </w:pPr>
      <w:r>
        <w:rPr>
          <w:rFonts w:ascii="Arial" w:hAnsi="Arial" w:cs="Arial"/>
          <w:bCs/>
        </w:rPr>
        <w:t>As a condition of eligibility, the eligibility worker must verify that both the essential spouse and the SSI eligible person with whom he/she lives must continue to meet the eligibility criteria that were in effect in December 1973.</w:t>
      </w:r>
    </w:p>
    <w:p w:rsidR="006D57C7" w:rsidRDefault="006D57C7">
      <w:pPr>
        <w:jc w:val="both"/>
        <w:rPr>
          <w:rFonts w:ascii="Arial" w:hAnsi="Arial" w:cs="Arial"/>
        </w:rPr>
      </w:pPr>
    </w:p>
    <w:p w:rsidR="006D57C7" w:rsidRDefault="006D57C7">
      <w:pPr>
        <w:pStyle w:val="ManualHeading2"/>
        <w:rPr>
          <w:b w:val="0"/>
          <w:bCs w:val="0"/>
          <w:sz w:val="16"/>
        </w:rPr>
      </w:pPr>
      <w:bookmarkStart w:id="4" w:name="_Toc405374385"/>
      <w:r>
        <w:t>406.03.01</w:t>
      </w:r>
      <w:r>
        <w:tab/>
        <w:t>Need Standards</w:t>
      </w:r>
      <w:bookmarkEnd w:id="4"/>
    </w:p>
    <w:p w:rsidR="006D57C7" w:rsidRPr="00A07425" w:rsidRDefault="00A07425" w:rsidP="00A07425">
      <w:pPr>
        <w:pStyle w:val="BodyText2"/>
        <w:jc w:val="right"/>
        <w:rPr>
          <w:bCs/>
          <w:sz w:val="16"/>
        </w:rPr>
      </w:pPr>
      <w:r w:rsidRPr="00A07425">
        <w:rPr>
          <w:bCs/>
          <w:sz w:val="16"/>
        </w:rPr>
        <w:t>(Eff. 01/01/06)</w:t>
      </w:r>
    </w:p>
    <w:p w:rsidR="006D57C7" w:rsidRDefault="006D57C7">
      <w:pPr>
        <w:ind w:left="720" w:hanging="360"/>
        <w:jc w:val="both"/>
        <w:rPr>
          <w:rFonts w:ascii="Arial" w:hAnsi="Arial" w:cs="Arial"/>
        </w:rPr>
      </w:pPr>
      <w:r>
        <w:rPr>
          <w:rFonts w:ascii="Arial" w:hAnsi="Arial" w:cs="Arial"/>
        </w:rPr>
        <w:t>A.</w:t>
      </w:r>
      <w:r>
        <w:rPr>
          <w:rFonts w:ascii="Arial" w:hAnsi="Arial" w:cs="Arial"/>
        </w:rPr>
        <w:tab/>
      </w:r>
      <w:r>
        <w:rPr>
          <w:rFonts w:ascii="Arial" w:hAnsi="Arial" w:cs="Arial"/>
          <w:u w:val="single"/>
        </w:rPr>
        <w:t>Basic requirements</w:t>
      </w:r>
      <w:r>
        <w:rPr>
          <w:rFonts w:ascii="Arial" w:hAnsi="Arial" w:cs="Arial"/>
        </w:rPr>
        <w:t xml:space="preserve"> include a standard allowance for personal and household needs based on a category of assistance and the total number of persons in the household who receive assistance.</w:t>
      </w:r>
    </w:p>
    <w:p w:rsidR="006D57C7" w:rsidRDefault="006D57C7">
      <w:pPr>
        <w:jc w:val="both"/>
        <w:rPr>
          <w:rFonts w:ascii="Arial" w:hAnsi="Arial" w:cs="Arial"/>
          <w:sz w:val="20"/>
        </w:rPr>
      </w:pPr>
    </w:p>
    <w:p w:rsidR="006D57C7" w:rsidRDefault="006D57C7">
      <w:pPr>
        <w:ind w:left="720"/>
        <w:jc w:val="both"/>
        <w:rPr>
          <w:rFonts w:ascii="Arial" w:hAnsi="Arial" w:cs="Arial"/>
        </w:rPr>
      </w:pPr>
      <w:r>
        <w:rPr>
          <w:rFonts w:ascii="Arial" w:hAnsi="Arial" w:cs="Arial"/>
        </w:rPr>
        <w:t xml:space="preserve">A standard allowance for </w:t>
      </w:r>
      <w:r>
        <w:rPr>
          <w:rFonts w:ascii="Arial" w:hAnsi="Arial" w:cs="Arial"/>
          <w:u w:val="single"/>
        </w:rPr>
        <w:t>electricity</w:t>
      </w:r>
      <w:r>
        <w:rPr>
          <w:rFonts w:ascii="Arial" w:hAnsi="Arial" w:cs="Arial"/>
        </w:rPr>
        <w:t xml:space="preserve">, </w:t>
      </w:r>
      <w:r>
        <w:rPr>
          <w:rFonts w:ascii="Arial" w:hAnsi="Arial" w:cs="Arial"/>
          <w:u w:val="single"/>
        </w:rPr>
        <w:t>water,</w:t>
      </w:r>
      <w:r>
        <w:rPr>
          <w:rFonts w:ascii="Arial" w:hAnsi="Arial" w:cs="Arial"/>
        </w:rPr>
        <w:t xml:space="preserve"> and </w:t>
      </w:r>
      <w:r>
        <w:rPr>
          <w:rFonts w:ascii="Arial" w:hAnsi="Arial" w:cs="Arial"/>
          <w:u w:val="single"/>
        </w:rPr>
        <w:t>fuel</w:t>
      </w:r>
      <w:r>
        <w:rPr>
          <w:rFonts w:ascii="Arial" w:hAnsi="Arial" w:cs="Arial"/>
        </w:rPr>
        <w:t xml:space="preserve"> is included in basic requirements. If one or more of these items are contributed to the individual, the allowance for that item(s) must be considered in the budget as in-kind income. If only a portion of one or more of these utility items is contributed, the part contributed is </w:t>
      </w:r>
      <w:r>
        <w:rPr>
          <w:rFonts w:ascii="Arial" w:hAnsi="Arial" w:cs="Arial"/>
          <w:u w:val="single"/>
        </w:rPr>
        <w:t>not</w:t>
      </w:r>
      <w:r>
        <w:rPr>
          <w:rFonts w:ascii="Arial" w:hAnsi="Arial" w:cs="Arial"/>
        </w:rPr>
        <w:t xml:space="preserve"> considered as in-kind income.</w:t>
      </w:r>
    </w:p>
    <w:p w:rsidR="006D57C7" w:rsidRDefault="006D57C7">
      <w:pPr>
        <w:jc w:val="both"/>
        <w:rPr>
          <w:rFonts w:ascii="Arial" w:hAnsi="Arial" w:cs="Arial"/>
        </w:rPr>
      </w:pPr>
    </w:p>
    <w:p w:rsidR="006D57C7" w:rsidRDefault="006D57C7" w:rsidP="006D57C7">
      <w:pPr>
        <w:pStyle w:val="QuickA"/>
        <w:numPr>
          <w:ilvl w:val="1"/>
          <w:numId w:val="4"/>
        </w:numPr>
        <w:tabs>
          <w:tab w:val="clear" w:pos="3240"/>
        </w:tabs>
        <w:ind w:left="720"/>
        <w:jc w:val="both"/>
        <w:rPr>
          <w:rFonts w:ascii="Arial" w:hAnsi="Arial" w:cs="Arial"/>
          <w:sz w:val="24"/>
        </w:rPr>
      </w:pPr>
      <w:r>
        <w:rPr>
          <w:rFonts w:ascii="Arial" w:hAnsi="Arial" w:cs="Arial"/>
          <w:sz w:val="24"/>
          <w:u w:val="single"/>
        </w:rPr>
        <w:t>Shelter</w:t>
      </w:r>
      <w:r>
        <w:rPr>
          <w:rFonts w:ascii="Arial" w:hAnsi="Arial" w:cs="Arial"/>
          <w:sz w:val="24"/>
        </w:rPr>
        <w:t xml:space="preserve"> cost is recognized for persons who rent or own a home. The actual rent, mortgage payment or maintenance costs paid, up to a maximum of $35.00 per month per household, is allowed in the combined assistance budgets of all persons who live in the household. If any utility item (electricity, water, or fuel) is </w:t>
      </w:r>
      <w:r>
        <w:rPr>
          <w:rFonts w:ascii="Arial" w:hAnsi="Arial" w:cs="Arial"/>
          <w:sz w:val="24"/>
        </w:rPr>
        <w:lastRenderedPageBreak/>
        <w:t>included in the cost of shelter, the standard allowance for such item(s</w:t>
      </w:r>
      <w:proofErr w:type="gramStart"/>
      <w:r>
        <w:rPr>
          <w:rFonts w:ascii="Arial" w:hAnsi="Arial" w:cs="Arial"/>
          <w:sz w:val="24"/>
        </w:rPr>
        <w:t>),</w:t>
      </w:r>
      <w:proofErr w:type="gramEnd"/>
      <w:r>
        <w:rPr>
          <w:rFonts w:ascii="Arial" w:hAnsi="Arial" w:cs="Arial"/>
          <w:sz w:val="24"/>
        </w:rPr>
        <w:t xml:space="preserve"> must be subtracted from the actual cost of shelter and the resulting figure, up to $35.00, is allowed in the budget.</w:t>
      </w:r>
    </w:p>
    <w:p w:rsidR="006D57C7" w:rsidRDefault="006D57C7">
      <w:pPr>
        <w:jc w:val="both"/>
        <w:rPr>
          <w:rFonts w:ascii="Arial" w:hAnsi="Arial" w:cs="Arial"/>
        </w:rPr>
      </w:pPr>
    </w:p>
    <w:p w:rsidR="006D57C7" w:rsidRDefault="006D57C7">
      <w:pPr>
        <w:pStyle w:val="QuickA"/>
        <w:numPr>
          <w:ilvl w:val="0"/>
          <w:numId w:val="0"/>
        </w:numPr>
        <w:ind w:left="720" w:hanging="360"/>
        <w:jc w:val="both"/>
        <w:rPr>
          <w:rFonts w:ascii="Arial" w:hAnsi="Arial" w:cs="Arial"/>
          <w:sz w:val="24"/>
        </w:rPr>
      </w:pPr>
      <w:r>
        <w:rPr>
          <w:rFonts w:ascii="Arial" w:hAnsi="Arial" w:cs="Arial"/>
          <w:sz w:val="24"/>
        </w:rPr>
        <w:t>C.</w:t>
      </w:r>
      <w:r>
        <w:rPr>
          <w:rFonts w:ascii="Arial" w:hAnsi="Arial" w:cs="Arial"/>
          <w:sz w:val="24"/>
        </w:rPr>
        <w:tab/>
      </w:r>
      <w:r>
        <w:rPr>
          <w:rFonts w:ascii="Arial" w:hAnsi="Arial" w:cs="Arial"/>
          <w:sz w:val="24"/>
          <w:u w:val="single"/>
        </w:rPr>
        <w:t>Special Needs</w:t>
      </w:r>
      <w:r>
        <w:rPr>
          <w:rFonts w:ascii="Arial" w:hAnsi="Arial" w:cs="Arial"/>
          <w:sz w:val="24"/>
        </w:rPr>
        <w:t xml:space="preserve"> are included in the budget under certain circumstances as long as the need is verified.</w:t>
      </w:r>
    </w:p>
    <w:p w:rsidR="006D57C7" w:rsidRDefault="006D57C7">
      <w:pPr>
        <w:jc w:val="both"/>
        <w:rPr>
          <w:rFonts w:ascii="Arial" w:hAnsi="Arial" w:cs="Arial"/>
        </w:rPr>
      </w:pPr>
    </w:p>
    <w:p w:rsidR="006D57C7" w:rsidRDefault="006D57C7">
      <w:pPr>
        <w:ind w:left="1080" w:hanging="360"/>
        <w:jc w:val="both"/>
        <w:rPr>
          <w:rFonts w:ascii="Arial" w:hAnsi="Arial" w:cs="Arial"/>
        </w:rPr>
      </w:pPr>
      <w:r>
        <w:rPr>
          <w:rFonts w:ascii="Arial" w:hAnsi="Arial" w:cs="Arial"/>
        </w:rPr>
        <w:t>1.</w:t>
      </w:r>
      <w:r>
        <w:rPr>
          <w:rFonts w:ascii="Arial" w:hAnsi="Arial" w:cs="Arial"/>
        </w:rPr>
        <w:tab/>
      </w:r>
      <w:r>
        <w:rPr>
          <w:rFonts w:ascii="Arial" w:hAnsi="Arial" w:cs="Arial"/>
          <w:u w:val="single"/>
        </w:rPr>
        <w:t>Special Diet</w:t>
      </w:r>
      <w:r>
        <w:rPr>
          <w:rFonts w:ascii="Arial" w:hAnsi="Arial" w:cs="Arial"/>
        </w:rPr>
        <w:t>: An allowance of $6.00 is budgeted for each individual with tuberculosis or an arrested tubercular case who still requires medication.</w:t>
      </w:r>
    </w:p>
    <w:p w:rsidR="006D57C7" w:rsidRDefault="006D57C7">
      <w:pPr>
        <w:jc w:val="both"/>
        <w:rPr>
          <w:rFonts w:ascii="Arial" w:hAnsi="Arial" w:cs="Arial"/>
        </w:rPr>
      </w:pPr>
    </w:p>
    <w:p w:rsidR="006D57C7" w:rsidRDefault="006D57C7">
      <w:pPr>
        <w:ind w:left="1080" w:hanging="360"/>
        <w:jc w:val="both"/>
        <w:rPr>
          <w:rFonts w:ascii="Arial" w:hAnsi="Arial" w:cs="Arial"/>
        </w:rPr>
      </w:pPr>
      <w:r>
        <w:rPr>
          <w:rFonts w:ascii="Arial" w:hAnsi="Arial" w:cs="Arial"/>
        </w:rPr>
        <w:t>2.</w:t>
      </w:r>
      <w:r>
        <w:rPr>
          <w:rFonts w:ascii="Arial" w:hAnsi="Arial" w:cs="Arial"/>
        </w:rPr>
        <w:tab/>
      </w:r>
      <w:r>
        <w:rPr>
          <w:rFonts w:ascii="Arial" w:hAnsi="Arial" w:cs="Arial"/>
          <w:u w:val="single"/>
        </w:rPr>
        <w:t>Insurance</w:t>
      </w:r>
      <w:r>
        <w:rPr>
          <w:rFonts w:ascii="Arial" w:hAnsi="Arial" w:cs="Arial"/>
        </w:rPr>
        <w:t>: The actual amount of the premiums paid up to a maximum of $1.25 per person ($.45 for an essential person who is not a spouse) is allowed for individuals who carry life, burial, or accidental insurance.</w:t>
      </w:r>
    </w:p>
    <w:p w:rsidR="006D57C7" w:rsidRDefault="006D57C7">
      <w:pPr>
        <w:ind w:left="1080" w:hanging="360"/>
        <w:jc w:val="both"/>
        <w:rPr>
          <w:rFonts w:ascii="Arial" w:hAnsi="Arial" w:cs="Arial"/>
        </w:rPr>
      </w:pPr>
    </w:p>
    <w:p w:rsidR="006D57C7" w:rsidRDefault="006D57C7">
      <w:pPr>
        <w:ind w:left="1080" w:hanging="360"/>
        <w:jc w:val="both"/>
        <w:rPr>
          <w:rFonts w:ascii="Arial" w:hAnsi="Arial" w:cs="Arial"/>
        </w:rPr>
      </w:pPr>
      <w:r>
        <w:rPr>
          <w:rFonts w:ascii="Arial" w:hAnsi="Arial" w:cs="Arial"/>
        </w:rPr>
        <w:t>3.</w:t>
      </w:r>
      <w:r>
        <w:rPr>
          <w:rFonts w:ascii="Arial" w:hAnsi="Arial" w:cs="Arial"/>
        </w:rPr>
        <w:tab/>
      </w:r>
      <w:r>
        <w:rPr>
          <w:rFonts w:ascii="Arial" w:hAnsi="Arial" w:cs="Arial"/>
          <w:u w:val="single"/>
        </w:rPr>
        <w:t>Laundry</w:t>
      </w:r>
      <w:r>
        <w:rPr>
          <w:rFonts w:ascii="Arial" w:hAnsi="Arial" w:cs="Arial"/>
        </w:rPr>
        <w:t>: The actual cost of this service up to a maximum of $2.50 per month per dependent group (this may be one or more budget groups living together) is included if the individual(s) has a physical or mental condition that prevents him/her from being able to do his/her own laundry, and there is no one who is willing to provide this service free of charge.</w:t>
      </w:r>
    </w:p>
    <w:p w:rsidR="006D57C7" w:rsidRDefault="006D57C7">
      <w:pPr>
        <w:ind w:left="1080" w:hanging="360"/>
        <w:jc w:val="both"/>
        <w:rPr>
          <w:rFonts w:ascii="Arial" w:hAnsi="Arial" w:cs="Arial"/>
        </w:rPr>
      </w:pPr>
    </w:p>
    <w:p w:rsidR="006D57C7" w:rsidRDefault="006D57C7">
      <w:pPr>
        <w:ind w:left="1080" w:hanging="360"/>
        <w:jc w:val="both"/>
        <w:rPr>
          <w:rFonts w:ascii="Arial" w:hAnsi="Arial" w:cs="Arial"/>
        </w:rPr>
      </w:pPr>
      <w:r>
        <w:rPr>
          <w:rFonts w:ascii="Arial" w:hAnsi="Arial" w:cs="Arial"/>
        </w:rPr>
        <w:t>4.</w:t>
      </w:r>
      <w:r>
        <w:rPr>
          <w:rFonts w:ascii="Arial" w:hAnsi="Arial" w:cs="Arial"/>
        </w:rPr>
        <w:tab/>
      </w:r>
      <w:r>
        <w:rPr>
          <w:rFonts w:ascii="Arial" w:hAnsi="Arial" w:cs="Arial"/>
          <w:u w:val="single"/>
        </w:rPr>
        <w:t>Cooking Service</w:t>
      </w:r>
      <w:r>
        <w:rPr>
          <w:rFonts w:ascii="Arial" w:hAnsi="Arial" w:cs="Arial"/>
        </w:rPr>
        <w:t>: The actual cost of this service up to a maximum of $5.00 per month per dependent group is included if the individual(s) is unable to cook his/her own meals.</w:t>
      </w:r>
    </w:p>
    <w:p w:rsidR="006D57C7" w:rsidRDefault="006D57C7">
      <w:pPr>
        <w:ind w:left="1080" w:hanging="360"/>
        <w:jc w:val="both"/>
        <w:rPr>
          <w:rFonts w:ascii="Arial" w:hAnsi="Arial" w:cs="Arial"/>
        </w:rPr>
      </w:pPr>
    </w:p>
    <w:p w:rsidR="006D57C7" w:rsidRDefault="006D57C7">
      <w:pPr>
        <w:ind w:left="1080" w:hanging="360"/>
        <w:jc w:val="both"/>
        <w:rPr>
          <w:rFonts w:ascii="Arial" w:hAnsi="Arial" w:cs="Arial"/>
        </w:rPr>
      </w:pPr>
      <w:r>
        <w:rPr>
          <w:rFonts w:ascii="Arial" w:hAnsi="Arial" w:cs="Arial"/>
        </w:rPr>
        <w:t>5.</w:t>
      </w:r>
      <w:r>
        <w:rPr>
          <w:rFonts w:ascii="Arial" w:hAnsi="Arial" w:cs="Arial"/>
        </w:rPr>
        <w:tab/>
      </w:r>
      <w:r>
        <w:rPr>
          <w:rFonts w:ascii="Arial" w:hAnsi="Arial" w:cs="Arial"/>
          <w:u w:val="single"/>
        </w:rPr>
        <w:t>Nursing Service:</w:t>
      </w:r>
      <w:r>
        <w:rPr>
          <w:rFonts w:ascii="Arial" w:hAnsi="Arial" w:cs="Arial"/>
        </w:rPr>
        <w:t xml:space="preserve"> An allowance may be included for nursing care in the home when it is verified by completion of DSS Form 1731 that this type care is essential to an individual and cannot be provided by responsible relatives in the home. The amount actually being paid up to a maximum of $130.00 per person is included.</w:t>
      </w:r>
    </w:p>
    <w:p w:rsidR="006D57C7" w:rsidRDefault="006D57C7">
      <w:pPr>
        <w:ind w:left="1080" w:hanging="360"/>
        <w:jc w:val="both"/>
        <w:rPr>
          <w:rFonts w:ascii="Arial" w:hAnsi="Arial" w:cs="Arial"/>
        </w:rPr>
      </w:pPr>
    </w:p>
    <w:p w:rsidR="006D57C7" w:rsidRDefault="006D57C7">
      <w:pPr>
        <w:ind w:left="1080" w:hanging="360"/>
        <w:jc w:val="both"/>
        <w:rPr>
          <w:rFonts w:ascii="Arial" w:hAnsi="Arial" w:cs="Arial"/>
        </w:rPr>
      </w:pPr>
      <w:r>
        <w:rPr>
          <w:rFonts w:ascii="Arial" w:hAnsi="Arial" w:cs="Arial"/>
        </w:rPr>
        <w:t>6.</w:t>
      </w:r>
      <w:r>
        <w:rPr>
          <w:rFonts w:ascii="Arial" w:hAnsi="Arial" w:cs="Arial"/>
        </w:rPr>
        <w:tab/>
      </w:r>
      <w:r>
        <w:rPr>
          <w:rFonts w:ascii="Arial" w:hAnsi="Arial" w:cs="Arial"/>
          <w:u w:val="single"/>
        </w:rPr>
        <w:t>Medical Chest, Clothing, and Incidentals</w:t>
      </w:r>
      <w:r>
        <w:rPr>
          <w:rFonts w:ascii="Arial" w:hAnsi="Arial" w:cs="Arial"/>
        </w:rPr>
        <w:t>: Not applicable to cases involving essential spouses.</w:t>
      </w:r>
    </w:p>
    <w:p w:rsidR="006D57C7" w:rsidRDefault="006D57C7">
      <w:pPr>
        <w:ind w:left="1080" w:hanging="360"/>
        <w:jc w:val="both"/>
        <w:rPr>
          <w:rFonts w:ascii="Arial" w:hAnsi="Arial" w:cs="Arial"/>
        </w:rPr>
      </w:pPr>
    </w:p>
    <w:p w:rsidR="006D57C7" w:rsidRDefault="006D57C7">
      <w:pPr>
        <w:ind w:left="1080" w:hanging="360"/>
        <w:jc w:val="both"/>
        <w:rPr>
          <w:rFonts w:ascii="Arial" w:hAnsi="Arial" w:cs="Arial"/>
        </w:rPr>
      </w:pPr>
      <w:r>
        <w:rPr>
          <w:rFonts w:ascii="Arial" w:hAnsi="Arial" w:cs="Arial"/>
        </w:rPr>
        <w:t>7.</w:t>
      </w:r>
      <w:r>
        <w:rPr>
          <w:rFonts w:ascii="Arial" w:hAnsi="Arial" w:cs="Arial"/>
        </w:rPr>
        <w:tab/>
      </w:r>
      <w:r>
        <w:rPr>
          <w:rFonts w:ascii="Arial" w:hAnsi="Arial" w:cs="Arial"/>
          <w:u w:val="single"/>
        </w:rPr>
        <w:t>Boarding Institutions</w:t>
      </w:r>
      <w:r>
        <w:rPr>
          <w:rFonts w:ascii="Arial" w:hAnsi="Arial" w:cs="Arial"/>
        </w:rPr>
        <w:t>: Not applicable to cases involving essential spouses.</w:t>
      </w:r>
    </w:p>
    <w:p w:rsidR="006D57C7" w:rsidRDefault="006D57C7">
      <w:pPr>
        <w:ind w:left="1080" w:hanging="360"/>
        <w:jc w:val="both"/>
        <w:rPr>
          <w:rFonts w:ascii="Arial" w:hAnsi="Arial" w:cs="Arial"/>
        </w:rPr>
      </w:pPr>
    </w:p>
    <w:p w:rsidR="006D57C7" w:rsidRDefault="006D57C7" w:rsidP="006D57C7">
      <w:pPr>
        <w:pStyle w:val="BodyTextIndent2"/>
        <w:numPr>
          <w:ilvl w:val="0"/>
          <w:numId w:val="6"/>
        </w:numPr>
        <w:tabs>
          <w:tab w:val="clear" w:pos="1440"/>
        </w:tabs>
        <w:ind w:left="1080"/>
        <w:rPr>
          <w:rFonts w:ascii="Arial" w:hAnsi="Arial" w:cs="Arial"/>
        </w:rPr>
      </w:pPr>
      <w:r>
        <w:rPr>
          <w:rFonts w:ascii="Arial" w:hAnsi="Arial" w:cs="Arial"/>
          <w:u w:val="single"/>
        </w:rPr>
        <w:t>Guide Service</w:t>
      </w:r>
      <w:r>
        <w:rPr>
          <w:rFonts w:ascii="Arial" w:hAnsi="Arial" w:cs="Arial"/>
        </w:rPr>
        <w:t>: The actual cost of this service up to a maximum of $6.50 per person is included if the blind individual has no one to provide this service free of charge.</w:t>
      </w:r>
    </w:p>
    <w:p w:rsidR="006D57C7" w:rsidRDefault="006D57C7">
      <w:pPr>
        <w:pStyle w:val="BodyTextIndent2"/>
        <w:ind w:firstLine="0"/>
        <w:rPr>
          <w:rFonts w:ascii="Arial" w:hAnsi="Arial" w:cs="Arial"/>
          <w:b/>
          <w:bCs/>
        </w:rPr>
      </w:pPr>
      <w:r>
        <w:rPr>
          <w:rFonts w:ascii="Arial" w:hAnsi="Arial" w:cs="Arial"/>
          <w:b/>
          <w:bCs/>
        </w:rPr>
        <w:tab/>
      </w:r>
    </w:p>
    <w:p w:rsidR="006D57C7" w:rsidRDefault="006D57C7">
      <w:pPr>
        <w:pStyle w:val="ManualHeading2"/>
        <w:rPr>
          <w:b w:val="0"/>
          <w:bCs w:val="0"/>
          <w:sz w:val="16"/>
        </w:rPr>
      </w:pPr>
      <w:bookmarkStart w:id="5" w:name="_Toc405374386"/>
      <w:r>
        <w:t>406.03.02</w:t>
      </w:r>
      <w:r>
        <w:tab/>
        <w:t>Income Standards</w:t>
      </w:r>
      <w:bookmarkEnd w:id="5"/>
    </w:p>
    <w:p w:rsidR="006D57C7" w:rsidRPr="00A07425" w:rsidRDefault="00A07425" w:rsidP="00A07425">
      <w:pPr>
        <w:pStyle w:val="BodyText2"/>
        <w:jc w:val="right"/>
        <w:rPr>
          <w:bCs/>
          <w:sz w:val="16"/>
        </w:rPr>
      </w:pPr>
      <w:r w:rsidRPr="00A07425">
        <w:rPr>
          <w:bCs/>
          <w:sz w:val="16"/>
        </w:rPr>
        <w:t>(Eff. 01/01/06)</w:t>
      </w:r>
    </w:p>
    <w:p w:rsidR="006D57C7" w:rsidRDefault="006D57C7" w:rsidP="006D57C7">
      <w:pPr>
        <w:pStyle w:val="QuickA"/>
        <w:numPr>
          <w:ilvl w:val="0"/>
          <w:numId w:val="5"/>
        </w:numPr>
        <w:tabs>
          <w:tab w:val="clear" w:pos="720"/>
        </w:tabs>
        <w:ind w:left="360"/>
        <w:jc w:val="both"/>
        <w:rPr>
          <w:rFonts w:ascii="Arial" w:hAnsi="Arial" w:cs="Arial"/>
          <w:sz w:val="24"/>
        </w:rPr>
      </w:pPr>
      <w:r>
        <w:rPr>
          <w:rFonts w:ascii="Arial" w:hAnsi="Arial" w:cs="Arial"/>
          <w:sz w:val="24"/>
          <w:u w:val="single"/>
        </w:rPr>
        <w:t>Earned Income</w:t>
      </w:r>
      <w:r>
        <w:rPr>
          <w:rFonts w:ascii="Arial" w:hAnsi="Arial" w:cs="Arial"/>
          <w:sz w:val="24"/>
        </w:rPr>
        <w:t xml:space="preserve"> includes wages, salary, commission, or profit from activities in which the individual is engaged as an employee or self-employed person. Gross earnings </w:t>
      </w:r>
      <w:r>
        <w:rPr>
          <w:rFonts w:ascii="Arial" w:hAnsi="Arial" w:cs="Arial"/>
          <w:sz w:val="24"/>
        </w:rPr>
        <w:lastRenderedPageBreak/>
        <w:t>are determined on a monthly basis, which is defined as 4-1/3 weeks. The following disregards of earned income are allowed.</w:t>
      </w:r>
    </w:p>
    <w:p w:rsidR="006D57C7" w:rsidRDefault="006D57C7">
      <w:pPr>
        <w:jc w:val="both"/>
        <w:rPr>
          <w:rFonts w:ascii="Arial" w:hAnsi="Arial" w:cs="Arial"/>
        </w:rPr>
      </w:pPr>
    </w:p>
    <w:p w:rsidR="006D57C7" w:rsidRDefault="006D57C7">
      <w:pPr>
        <w:ind w:left="720" w:hanging="360"/>
        <w:jc w:val="both"/>
        <w:rPr>
          <w:rFonts w:ascii="Arial" w:hAnsi="Arial" w:cs="Arial"/>
        </w:rPr>
      </w:pPr>
      <w:r>
        <w:rPr>
          <w:rFonts w:ascii="Arial" w:hAnsi="Arial" w:cs="Arial"/>
        </w:rPr>
        <w:t>1.</w:t>
      </w:r>
      <w:r>
        <w:rPr>
          <w:rFonts w:ascii="Arial" w:hAnsi="Arial" w:cs="Arial"/>
        </w:rPr>
        <w:tab/>
      </w:r>
      <w:r>
        <w:rPr>
          <w:rFonts w:ascii="Arial" w:hAnsi="Arial" w:cs="Arial"/>
          <w:u w:val="single"/>
        </w:rPr>
        <w:t>Exempt Income</w:t>
      </w:r>
    </w:p>
    <w:p w:rsidR="006D57C7" w:rsidRDefault="006D57C7">
      <w:pPr>
        <w:jc w:val="both"/>
        <w:rPr>
          <w:rFonts w:ascii="Arial" w:hAnsi="Arial" w:cs="Arial"/>
        </w:rPr>
      </w:pPr>
    </w:p>
    <w:p w:rsidR="006D57C7" w:rsidRDefault="006D57C7">
      <w:pPr>
        <w:pStyle w:val="Quicka0"/>
        <w:numPr>
          <w:ilvl w:val="0"/>
          <w:numId w:val="0"/>
        </w:numPr>
        <w:ind w:left="1080" w:hanging="360"/>
        <w:jc w:val="both"/>
        <w:rPr>
          <w:rFonts w:ascii="Arial" w:hAnsi="Arial" w:cs="Arial"/>
          <w:sz w:val="24"/>
        </w:rPr>
      </w:pPr>
      <w:r>
        <w:rPr>
          <w:rFonts w:ascii="Arial" w:hAnsi="Arial" w:cs="Arial"/>
          <w:sz w:val="24"/>
        </w:rPr>
        <w:sym w:font="Symbol" w:char="F0B7"/>
      </w:r>
      <w:r>
        <w:rPr>
          <w:rFonts w:ascii="Arial" w:hAnsi="Arial" w:cs="Arial"/>
          <w:sz w:val="24"/>
        </w:rPr>
        <w:tab/>
        <w:t xml:space="preserve">Old Age Assistance (OAA) and </w:t>
      </w:r>
      <w:proofErr w:type="gramStart"/>
      <w:r>
        <w:rPr>
          <w:rFonts w:ascii="Arial" w:hAnsi="Arial" w:cs="Arial"/>
          <w:sz w:val="24"/>
        </w:rPr>
        <w:t>Totally</w:t>
      </w:r>
      <w:proofErr w:type="gramEnd"/>
      <w:r>
        <w:rPr>
          <w:rFonts w:ascii="Arial" w:hAnsi="Arial" w:cs="Arial"/>
          <w:sz w:val="24"/>
        </w:rPr>
        <w:t xml:space="preserve"> and Permanently Disabled (TPD):  Disregard $20.00 of the first $80.00 plus one-half (½) of the next $60.00 per month.</w:t>
      </w:r>
    </w:p>
    <w:p w:rsidR="006D57C7" w:rsidRDefault="006D57C7">
      <w:pPr>
        <w:ind w:left="1080"/>
        <w:jc w:val="both"/>
        <w:rPr>
          <w:rFonts w:ascii="Arial" w:hAnsi="Arial" w:cs="Arial"/>
        </w:rPr>
      </w:pPr>
    </w:p>
    <w:p w:rsidR="006D57C7" w:rsidRDefault="006D57C7">
      <w:pPr>
        <w:pStyle w:val="Quicka0"/>
        <w:numPr>
          <w:ilvl w:val="0"/>
          <w:numId w:val="0"/>
        </w:numPr>
        <w:ind w:left="1080" w:hanging="360"/>
        <w:jc w:val="both"/>
        <w:rPr>
          <w:rFonts w:ascii="Arial" w:hAnsi="Arial" w:cs="Arial"/>
          <w:sz w:val="24"/>
        </w:rPr>
      </w:pPr>
      <w:r>
        <w:rPr>
          <w:rFonts w:ascii="Arial" w:hAnsi="Arial" w:cs="Arial"/>
          <w:sz w:val="24"/>
        </w:rPr>
        <w:sym w:font="Symbol" w:char="F0B7"/>
      </w:r>
      <w:r>
        <w:rPr>
          <w:rFonts w:ascii="Arial" w:hAnsi="Arial" w:cs="Arial"/>
          <w:sz w:val="24"/>
        </w:rPr>
        <w:tab/>
        <w:t>Aid to the Needy Blind (ANB): Disregard the first $85.00 per month plus one-half (½) of the monthly-earned income in excess of $85.00.</w:t>
      </w:r>
    </w:p>
    <w:p w:rsidR="006D57C7" w:rsidRDefault="006D57C7">
      <w:pPr>
        <w:pStyle w:val="Quicka0"/>
        <w:numPr>
          <w:ilvl w:val="0"/>
          <w:numId w:val="0"/>
        </w:numPr>
        <w:jc w:val="both"/>
        <w:rPr>
          <w:rFonts w:ascii="Arial" w:hAnsi="Arial" w:cs="Arial"/>
          <w:sz w:val="24"/>
        </w:rPr>
      </w:pPr>
    </w:p>
    <w:p w:rsidR="006D57C7" w:rsidRDefault="006D57C7">
      <w:pPr>
        <w:ind w:left="720" w:hanging="360"/>
        <w:jc w:val="both"/>
        <w:rPr>
          <w:rFonts w:ascii="Arial" w:hAnsi="Arial" w:cs="Arial"/>
        </w:rPr>
      </w:pPr>
      <w:r>
        <w:rPr>
          <w:rFonts w:ascii="Arial" w:hAnsi="Arial" w:cs="Arial"/>
        </w:rPr>
        <w:t>2.</w:t>
      </w:r>
      <w:r>
        <w:rPr>
          <w:rFonts w:ascii="Arial" w:hAnsi="Arial" w:cs="Arial"/>
        </w:rPr>
        <w:tab/>
      </w:r>
      <w:r>
        <w:rPr>
          <w:rFonts w:ascii="Arial" w:hAnsi="Arial" w:cs="Arial"/>
          <w:u w:val="single"/>
        </w:rPr>
        <w:t>Non-personal Work Expenses</w:t>
      </w:r>
    </w:p>
    <w:p w:rsidR="006D57C7" w:rsidRDefault="006D57C7">
      <w:pPr>
        <w:jc w:val="both"/>
        <w:rPr>
          <w:rFonts w:ascii="Arial" w:hAnsi="Arial" w:cs="Arial"/>
        </w:rPr>
      </w:pPr>
    </w:p>
    <w:p w:rsidR="006D57C7" w:rsidRDefault="006D57C7" w:rsidP="006D57C7">
      <w:pPr>
        <w:pStyle w:val="Quicka0"/>
        <w:numPr>
          <w:ilvl w:val="1"/>
          <w:numId w:val="5"/>
        </w:numPr>
        <w:tabs>
          <w:tab w:val="clear" w:pos="1440"/>
        </w:tabs>
        <w:ind w:left="1080"/>
        <w:jc w:val="both"/>
        <w:rPr>
          <w:rFonts w:ascii="Arial" w:hAnsi="Arial" w:cs="Arial"/>
          <w:sz w:val="24"/>
        </w:rPr>
      </w:pPr>
      <w:r>
        <w:rPr>
          <w:rFonts w:ascii="Arial" w:hAnsi="Arial" w:cs="Arial"/>
          <w:sz w:val="24"/>
        </w:rPr>
        <w:t>Transportation expenses to and from work and transportation on the job may be allowed in the amount actually being paid, it not reimbursed by the employer. Mileage may be allowed at the rate of $.12 per mile.</w:t>
      </w:r>
    </w:p>
    <w:p w:rsidR="006D57C7" w:rsidRDefault="006D57C7">
      <w:pPr>
        <w:ind w:left="1080"/>
        <w:jc w:val="both"/>
        <w:rPr>
          <w:rFonts w:ascii="Arial" w:hAnsi="Arial" w:cs="Arial"/>
        </w:rPr>
      </w:pPr>
    </w:p>
    <w:p w:rsidR="006D57C7" w:rsidRDefault="006D57C7" w:rsidP="006D57C7">
      <w:pPr>
        <w:pStyle w:val="Quicka0"/>
        <w:numPr>
          <w:ilvl w:val="1"/>
          <w:numId w:val="5"/>
        </w:numPr>
        <w:tabs>
          <w:tab w:val="clear" w:pos="1440"/>
        </w:tabs>
        <w:ind w:left="1080"/>
        <w:jc w:val="both"/>
        <w:rPr>
          <w:rFonts w:ascii="Arial" w:hAnsi="Arial" w:cs="Arial"/>
          <w:sz w:val="24"/>
        </w:rPr>
      </w:pPr>
      <w:r>
        <w:rPr>
          <w:rFonts w:ascii="Arial" w:hAnsi="Arial" w:cs="Arial"/>
          <w:sz w:val="24"/>
        </w:rPr>
        <w:t>Tools, uniforms and special safety devices for handicapped persons required for employment may be allowed in the amount actually being paid, if not provided by the employer.</w:t>
      </w:r>
    </w:p>
    <w:p w:rsidR="006D57C7" w:rsidRDefault="006D57C7">
      <w:pPr>
        <w:pStyle w:val="Quicka0"/>
        <w:numPr>
          <w:ilvl w:val="0"/>
          <w:numId w:val="0"/>
        </w:numPr>
        <w:ind w:left="1080"/>
        <w:jc w:val="both"/>
        <w:rPr>
          <w:rFonts w:ascii="Arial" w:hAnsi="Arial" w:cs="Arial"/>
          <w:sz w:val="24"/>
        </w:rPr>
      </w:pPr>
    </w:p>
    <w:p w:rsidR="006D57C7" w:rsidRDefault="006D57C7" w:rsidP="006D57C7">
      <w:pPr>
        <w:pStyle w:val="Quicka0"/>
        <w:numPr>
          <w:ilvl w:val="1"/>
          <w:numId w:val="5"/>
        </w:numPr>
        <w:tabs>
          <w:tab w:val="clear" w:pos="1440"/>
        </w:tabs>
        <w:ind w:left="1080"/>
        <w:jc w:val="both"/>
        <w:rPr>
          <w:rFonts w:ascii="Arial" w:hAnsi="Arial" w:cs="Arial"/>
          <w:sz w:val="24"/>
        </w:rPr>
      </w:pPr>
      <w:r>
        <w:rPr>
          <w:rFonts w:ascii="Arial" w:hAnsi="Arial" w:cs="Arial"/>
          <w:sz w:val="24"/>
        </w:rPr>
        <w:t>The employer recognizes licenses, union dues, employee organizations, and other assessments of this nature.</w:t>
      </w:r>
    </w:p>
    <w:p w:rsidR="006D57C7" w:rsidRDefault="006D57C7">
      <w:pPr>
        <w:jc w:val="both"/>
        <w:rPr>
          <w:rFonts w:ascii="Arial" w:hAnsi="Arial" w:cs="Arial"/>
        </w:rPr>
      </w:pPr>
    </w:p>
    <w:p w:rsidR="006D57C7" w:rsidRDefault="006D57C7">
      <w:pPr>
        <w:ind w:left="720" w:hanging="360"/>
        <w:jc w:val="both"/>
        <w:rPr>
          <w:rFonts w:ascii="Arial" w:hAnsi="Arial" w:cs="Arial"/>
        </w:rPr>
      </w:pPr>
      <w:r>
        <w:rPr>
          <w:rFonts w:ascii="Arial" w:hAnsi="Arial" w:cs="Arial"/>
        </w:rPr>
        <w:t>3.</w:t>
      </w:r>
      <w:r>
        <w:rPr>
          <w:rFonts w:ascii="Arial" w:hAnsi="Arial" w:cs="Arial"/>
        </w:rPr>
        <w:tab/>
      </w:r>
      <w:r>
        <w:rPr>
          <w:rFonts w:ascii="Arial" w:hAnsi="Arial" w:cs="Arial"/>
          <w:u w:val="single"/>
        </w:rPr>
        <w:t>Personal Deductions</w:t>
      </w:r>
    </w:p>
    <w:p w:rsidR="006D57C7" w:rsidRDefault="006D57C7">
      <w:pPr>
        <w:jc w:val="both"/>
        <w:rPr>
          <w:rFonts w:ascii="Arial" w:hAnsi="Arial" w:cs="Arial"/>
        </w:rPr>
      </w:pPr>
    </w:p>
    <w:p w:rsidR="006D57C7" w:rsidRDefault="006D57C7">
      <w:pPr>
        <w:ind w:left="720"/>
        <w:jc w:val="both"/>
        <w:rPr>
          <w:rFonts w:ascii="Arial" w:hAnsi="Arial" w:cs="Arial"/>
        </w:rPr>
      </w:pPr>
      <w:r>
        <w:rPr>
          <w:rFonts w:ascii="Arial" w:hAnsi="Arial" w:cs="Arial"/>
        </w:rPr>
        <w:t>A flat reduction of $10.00 per month per employed individual is allowed for personal upkeep. If the individual works less than 20 days per month, this deduction must be prorated at the rate of $.50 per day.</w:t>
      </w:r>
    </w:p>
    <w:p w:rsidR="006D57C7" w:rsidRDefault="006D57C7">
      <w:pPr>
        <w:jc w:val="both"/>
        <w:rPr>
          <w:rFonts w:ascii="Arial" w:hAnsi="Arial" w:cs="Arial"/>
        </w:rPr>
      </w:pPr>
    </w:p>
    <w:p w:rsidR="006D57C7" w:rsidRDefault="006D57C7" w:rsidP="006D57C7">
      <w:pPr>
        <w:pStyle w:val="QuickA"/>
        <w:numPr>
          <w:ilvl w:val="0"/>
          <w:numId w:val="5"/>
        </w:numPr>
        <w:tabs>
          <w:tab w:val="clear" w:pos="720"/>
        </w:tabs>
        <w:ind w:left="360"/>
        <w:jc w:val="both"/>
        <w:rPr>
          <w:rFonts w:ascii="Arial" w:hAnsi="Arial" w:cs="Arial"/>
          <w:sz w:val="24"/>
        </w:rPr>
      </w:pPr>
      <w:r>
        <w:rPr>
          <w:rFonts w:ascii="Arial" w:hAnsi="Arial" w:cs="Arial"/>
          <w:sz w:val="24"/>
          <w:u w:val="single"/>
        </w:rPr>
        <w:t>Non-Earned Income</w:t>
      </w:r>
      <w:r>
        <w:rPr>
          <w:rFonts w:ascii="Arial" w:hAnsi="Arial" w:cs="Arial"/>
          <w:sz w:val="24"/>
        </w:rPr>
        <w:t xml:space="preserve"> is income in cash or kind received by the individual for </w:t>
      </w:r>
      <w:proofErr w:type="gramStart"/>
      <w:r>
        <w:rPr>
          <w:rFonts w:ascii="Arial" w:hAnsi="Arial" w:cs="Arial"/>
          <w:sz w:val="24"/>
        </w:rPr>
        <w:t>which</w:t>
      </w:r>
      <w:proofErr w:type="gramEnd"/>
      <w:r>
        <w:rPr>
          <w:rFonts w:ascii="Arial" w:hAnsi="Arial" w:cs="Arial"/>
          <w:sz w:val="24"/>
        </w:rPr>
        <w:t xml:space="preserve"> there is no performance of work or provision of services as an employed person. It is received from such sources as:</w:t>
      </w:r>
    </w:p>
    <w:p w:rsidR="006D57C7" w:rsidRDefault="006D57C7">
      <w:pPr>
        <w:jc w:val="both"/>
        <w:rPr>
          <w:rFonts w:ascii="Arial" w:hAnsi="Arial" w:cs="Arial"/>
        </w:rPr>
      </w:pPr>
    </w:p>
    <w:p w:rsidR="006D57C7" w:rsidRDefault="006D57C7">
      <w:pPr>
        <w:ind w:left="720" w:hanging="360"/>
        <w:jc w:val="both"/>
        <w:rPr>
          <w:rFonts w:ascii="Arial" w:hAnsi="Arial" w:cs="Arial"/>
        </w:rPr>
      </w:pPr>
      <w:r>
        <w:rPr>
          <w:rFonts w:ascii="Arial" w:hAnsi="Arial" w:cs="Arial"/>
        </w:rPr>
        <w:t>1.</w:t>
      </w:r>
      <w:r>
        <w:rPr>
          <w:rFonts w:ascii="Arial" w:hAnsi="Arial" w:cs="Arial"/>
        </w:rPr>
        <w:tab/>
      </w:r>
      <w:r>
        <w:rPr>
          <w:rFonts w:ascii="Arial" w:hAnsi="Arial" w:cs="Arial"/>
          <w:u w:val="single"/>
        </w:rPr>
        <w:t>Boarders/Lodgers</w:t>
      </w:r>
      <w:r>
        <w:rPr>
          <w:rFonts w:ascii="Arial" w:hAnsi="Arial" w:cs="Arial"/>
        </w:rPr>
        <w:t>: The actual amount received from boarders or lodgers, minus operating costs, must be included in the budget.</w:t>
      </w:r>
    </w:p>
    <w:p w:rsidR="006D57C7" w:rsidRDefault="006D57C7">
      <w:pPr>
        <w:ind w:left="720" w:hanging="360"/>
        <w:jc w:val="both"/>
        <w:rPr>
          <w:rFonts w:ascii="Arial" w:hAnsi="Arial" w:cs="Arial"/>
        </w:rPr>
      </w:pPr>
    </w:p>
    <w:p w:rsidR="006D57C7" w:rsidRDefault="006D57C7">
      <w:pPr>
        <w:ind w:left="720" w:hanging="360"/>
        <w:jc w:val="both"/>
        <w:rPr>
          <w:rFonts w:ascii="Arial" w:hAnsi="Arial" w:cs="Arial"/>
        </w:rPr>
      </w:pPr>
      <w:r>
        <w:rPr>
          <w:rFonts w:ascii="Arial" w:hAnsi="Arial" w:cs="Arial"/>
        </w:rPr>
        <w:t>2.</w:t>
      </w:r>
      <w:r>
        <w:rPr>
          <w:rFonts w:ascii="Arial" w:hAnsi="Arial" w:cs="Arial"/>
        </w:rPr>
        <w:tab/>
      </w:r>
      <w:r>
        <w:rPr>
          <w:rFonts w:ascii="Arial" w:hAnsi="Arial" w:cs="Arial"/>
          <w:u w:val="single"/>
        </w:rPr>
        <w:t>Social Security Title II (RSDI) Benefits, Pensions, Allotments, Compensations, Etc.</w:t>
      </w:r>
      <w:r>
        <w:rPr>
          <w:rFonts w:ascii="Arial" w:hAnsi="Arial" w:cs="Arial"/>
        </w:rPr>
        <w:t>: The total amount of such monthly payments must be included in the budget, with only the following allowable disregards:</w:t>
      </w:r>
    </w:p>
    <w:p w:rsidR="006D57C7" w:rsidRDefault="006D57C7">
      <w:pPr>
        <w:jc w:val="both"/>
        <w:rPr>
          <w:rFonts w:ascii="Arial" w:hAnsi="Arial" w:cs="Arial"/>
        </w:rPr>
      </w:pPr>
    </w:p>
    <w:p w:rsidR="006D57C7" w:rsidRDefault="006D57C7" w:rsidP="006D57C7">
      <w:pPr>
        <w:pStyle w:val="Quicka0"/>
        <w:numPr>
          <w:ilvl w:val="0"/>
          <w:numId w:val="7"/>
        </w:numPr>
        <w:tabs>
          <w:tab w:val="clear" w:pos="720"/>
          <w:tab w:val="left" w:pos="-1080"/>
          <w:tab w:val="left" w:pos="-720"/>
        </w:tabs>
        <w:ind w:left="1080"/>
        <w:jc w:val="both"/>
        <w:rPr>
          <w:rFonts w:ascii="Arial" w:hAnsi="Arial" w:cs="Arial"/>
          <w:sz w:val="24"/>
        </w:rPr>
      </w:pPr>
      <w:r>
        <w:rPr>
          <w:rFonts w:ascii="Arial" w:hAnsi="Arial" w:cs="Arial"/>
          <w:sz w:val="24"/>
        </w:rPr>
        <w:t xml:space="preserve">An automatic $8.00 disregard from the Social Security Title II (RSDI) benefits </w:t>
      </w:r>
      <w:r>
        <w:rPr>
          <w:rFonts w:ascii="Arial" w:hAnsi="Arial" w:cs="Arial"/>
          <w:sz w:val="24"/>
        </w:rPr>
        <w:lastRenderedPageBreak/>
        <w:t>of each individual, regardless of assistance category.</w:t>
      </w:r>
    </w:p>
    <w:p w:rsidR="006D57C7" w:rsidRDefault="006D57C7">
      <w:pPr>
        <w:tabs>
          <w:tab w:val="left" w:pos="-1080"/>
          <w:tab w:val="left" w:pos="-720"/>
        </w:tabs>
        <w:ind w:left="1080"/>
        <w:jc w:val="both"/>
        <w:rPr>
          <w:rFonts w:ascii="Arial" w:hAnsi="Arial" w:cs="Arial"/>
        </w:rPr>
      </w:pPr>
    </w:p>
    <w:p w:rsidR="006D57C7" w:rsidRDefault="006D57C7" w:rsidP="006D57C7">
      <w:pPr>
        <w:pStyle w:val="Quicka0"/>
        <w:numPr>
          <w:ilvl w:val="0"/>
          <w:numId w:val="7"/>
        </w:numPr>
        <w:tabs>
          <w:tab w:val="clear" w:pos="720"/>
          <w:tab w:val="left" w:pos="-1080"/>
          <w:tab w:val="left" w:pos="-720"/>
        </w:tabs>
        <w:ind w:left="1080"/>
        <w:jc w:val="both"/>
        <w:rPr>
          <w:rFonts w:ascii="Arial" w:hAnsi="Arial" w:cs="Arial"/>
          <w:sz w:val="24"/>
        </w:rPr>
      </w:pPr>
      <w:r>
        <w:rPr>
          <w:rFonts w:ascii="Arial" w:hAnsi="Arial" w:cs="Arial"/>
          <w:sz w:val="24"/>
        </w:rPr>
        <w:t>The amount charged by a legally-appointed guardian, other than a member of the immediate family, up to 5% of the individual’s monthly income.</w:t>
      </w:r>
    </w:p>
    <w:p w:rsidR="006D57C7" w:rsidRDefault="006D57C7">
      <w:pPr>
        <w:tabs>
          <w:tab w:val="left" w:pos="-1080"/>
          <w:tab w:val="left" w:pos="-720"/>
        </w:tabs>
        <w:ind w:left="1080"/>
        <w:jc w:val="both"/>
        <w:rPr>
          <w:rFonts w:ascii="Arial" w:hAnsi="Arial" w:cs="Arial"/>
        </w:rPr>
      </w:pPr>
    </w:p>
    <w:p w:rsidR="006D57C7" w:rsidRDefault="006D57C7" w:rsidP="006D57C7">
      <w:pPr>
        <w:pStyle w:val="Quicka0"/>
        <w:numPr>
          <w:ilvl w:val="0"/>
          <w:numId w:val="7"/>
        </w:numPr>
        <w:tabs>
          <w:tab w:val="clear" w:pos="720"/>
          <w:tab w:val="left" w:pos="-1080"/>
          <w:tab w:val="left" w:pos="-720"/>
        </w:tabs>
        <w:ind w:left="1080"/>
        <w:jc w:val="both"/>
        <w:rPr>
          <w:rFonts w:ascii="Arial" w:hAnsi="Arial" w:cs="Arial"/>
          <w:sz w:val="24"/>
        </w:rPr>
      </w:pPr>
      <w:r>
        <w:rPr>
          <w:rFonts w:ascii="Arial" w:hAnsi="Arial" w:cs="Arial"/>
          <w:sz w:val="24"/>
        </w:rPr>
        <w:t>The special clothing allowance of $150.00 per year paid to a veteran who uses prosthetic or orthopedic devices.</w:t>
      </w:r>
    </w:p>
    <w:p w:rsidR="006D57C7" w:rsidRDefault="006D57C7">
      <w:pPr>
        <w:pStyle w:val="Quicka0"/>
        <w:numPr>
          <w:ilvl w:val="0"/>
          <w:numId w:val="0"/>
        </w:numPr>
        <w:ind w:left="1080"/>
        <w:jc w:val="both"/>
        <w:rPr>
          <w:rFonts w:ascii="Arial" w:hAnsi="Arial" w:cs="Arial"/>
          <w:sz w:val="24"/>
        </w:rPr>
      </w:pPr>
    </w:p>
    <w:p w:rsidR="006D57C7" w:rsidRDefault="006D57C7">
      <w:pPr>
        <w:ind w:left="720" w:hanging="360"/>
        <w:jc w:val="both"/>
        <w:rPr>
          <w:rFonts w:ascii="Arial" w:hAnsi="Arial" w:cs="Arial"/>
        </w:rPr>
      </w:pPr>
      <w:r>
        <w:rPr>
          <w:rFonts w:ascii="Arial" w:hAnsi="Arial" w:cs="Arial"/>
        </w:rPr>
        <w:t>3.</w:t>
      </w:r>
      <w:r>
        <w:rPr>
          <w:rFonts w:ascii="Arial" w:hAnsi="Arial" w:cs="Arial"/>
        </w:rPr>
        <w:tab/>
      </w:r>
      <w:r>
        <w:rPr>
          <w:rFonts w:ascii="Arial" w:hAnsi="Arial" w:cs="Arial"/>
          <w:u w:val="single"/>
        </w:rPr>
        <w:t>Rentals, Cash Contributions, Other Cash Income</w:t>
      </w:r>
      <w:r>
        <w:rPr>
          <w:rFonts w:ascii="Arial" w:hAnsi="Arial" w:cs="Arial"/>
        </w:rPr>
        <w:t>: The actual amount of cash income received per month must be budgeted. Net income from rental of property, after deduction of costs incident to the upkeep of such property, must be included in the budget.</w:t>
      </w:r>
    </w:p>
    <w:p w:rsidR="006D57C7" w:rsidRDefault="006D57C7">
      <w:pPr>
        <w:ind w:left="1080" w:hanging="540"/>
        <w:jc w:val="both"/>
        <w:rPr>
          <w:rFonts w:ascii="Arial" w:hAnsi="Arial" w:cs="Arial"/>
        </w:rPr>
      </w:pPr>
    </w:p>
    <w:p w:rsidR="006D57C7" w:rsidRDefault="006D57C7">
      <w:pPr>
        <w:pStyle w:val="BodyTextIndent2"/>
        <w:ind w:left="720" w:hanging="360"/>
        <w:rPr>
          <w:rFonts w:ascii="Arial" w:hAnsi="Arial" w:cs="Arial"/>
          <w:b/>
          <w:bCs/>
        </w:rPr>
      </w:pPr>
      <w:r>
        <w:rPr>
          <w:rFonts w:ascii="Arial" w:hAnsi="Arial" w:cs="Arial"/>
        </w:rPr>
        <w:t xml:space="preserve">4.  </w:t>
      </w:r>
      <w:r>
        <w:rPr>
          <w:rFonts w:ascii="Arial" w:hAnsi="Arial" w:cs="Arial"/>
          <w:u w:val="single"/>
        </w:rPr>
        <w:t>In-Kind Income</w:t>
      </w:r>
      <w:r>
        <w:rPr>
          <w:rFonts w:ascii="Arial" w:hAnsi="Arial" w:cs="Arial"/>
        </w:rPr>
        <w:t xml:space="preserve">: The standard allowance included in basic requirements for any need item that is contributed to the individual must be included in the budget as in-kind income. Contributed shelter is </w:t>
      </w:r>
      <w:r>
        <w:rPr>
          <w:rFonts w:ascii="Arial" w:hAnsi="Arial" w:cs="Arial"/>
          <w:u w:val="single"/>
        </w:rPr>
        <w:t>not</w:t>
      </w:r>
      <w:r>
        <w:rPr>
          <w:rFonts w:ascii="Arial" w:hAnsi="Arial" w:cs="Arial"/>
        </w:rPr>
        <w:t xml:space="preserve"> considered in-kind income.</w:t>
      </w:r>
    </w:p>
    <w:p w:rsidR="006D57C7" w:rsidRDefault="006D57C7">
      <w:pPr>
        <w:pStyle w:val="BodyTextIndent2"/>
        <w:ind w:firstLine="0"/>
        <w:rPr>
          <w:rFonts w:ascii="Arial" w:hAnsi="Arial" w:cs="Arial"/>
        </w:rPr>
      </w:pPr>
    </w:p>
    <w:p w:rsidR="006D57C7" w:rsidRDefault="006D57C7" w:rsidP="006D57C7">
      <w:pPr>
        <w:numPr>
          <w:ilvl w:val="0"/>
          <w:numId w:val="5"/>
        </w:numPr>
        <w:tabs>
          <w:tab w:val="clear" w:pos="720"/>
        </w:tabs>
        <w:ind w:left="360"/>
        <w:jc w:val="both"/>
        <w:rPr>
          <w:rFonts w:ascii="Arial" w:hAnsi="Arial" w:cs="Arial"/>
        </w:rPr>
      </w:pPr>
      <w:r>
        <w:rPr>
          <w:rFonts w:ascii="Arial" w:hAnsi="Arial" w:cs="Arial"/>
          <w:u w:val="single"/>
        </w:rPr>
        <w:t>Other Disregarded Income:</w:t>
      </w:r>
      <w:r>
        <w:rPr>
          <w:rFonts w:ascii="Arial" w:hAnsi="Arial" w:cs="Arial"/>
        </w:rPr>
        <w:t xml:space="preserve"> Recipients under the OAA/Aged category are entitled to a disregard of $5.00 from </w:t>
      </w:r>
      <w:r>
        <w:rPr>
          <w:rFonts w:ascii="Arial" w:hAnsi="Arial" w:cs="Arial"/>
          <w:u w:val="single"/>
        </w:rPr>
        <w:t>any</w:t>
      </w:r>
      <w:r>
        <w:rPr>
          <w:rFonts w:ascii="Arial" w:hAnsi="Arial" w:cs="Arial"/>
        </w:rPr>
        <w:t xml:space="preserve"> source of income.</w:t>
      </w:r>
    </w:p>
    <w:p w:rsidR="006D57C7" w:rsidRDefault="006D57C7">
      <w:pPr>
        <w:jc w:val="both"/>
        <w:rPr>
          <w:rFonts w:ascii="Arial" w:hAnsi="Arial" w:cs="Arial"/>
        </w:rPr>
      </w:pPr>
    </w:p>
    <w:p w:rsidR="006D57C7" w:rsidRDefault="006D57C7">
      <w:pPr>
        <w:pStyle w:val="ManualHeading2"/>
        <w:rPr>
          <w:b w:val="0"/>
          <w:bCs w:val="0"/>
          <w:sz w:val="16"/>
        </w:rPr>
      </w:pPr>
      <w:bookmarkStart w:id="6" w:name="_Toc405374387"/>
      <w:r>
        <w:t>406.03.03</w:t>
      </w:r>
      <w:r>
        <w:tab/>
        <w:t>Resources</w:t>
      </w:r>
      <w:bookmarkEnd w:id="6"/>
    </w:p>
    <w:p w:rsidR="00A07425" w:rsidRPr="00A07425" w:rsidRDefault="00A07425" w:rsidP="00A07425">
      <w:pPr>
        <w:jc w:val="right"/>
        <w:rPr>
          <w:rFonts w:ascii="Arial" w:hAnsi="Arial" w:cs="Arial"/>
          <w:sz w:val="16"/>
        </w:rPr>
      </w:pPr>
      <w:r w:rsidRPr="00A07425">
        <w:rPr>
          <w:rFonts w:ascii="Arial" w:hAnsi="Arial" w:cs="Arial"/>
          <w:sz w:val="16"/>
        </w:rPr>
        <w:t>(Eff. 01/01/06)</w:t>
      </w:r>
    </w:p>
    <w:p w:rsidR="006D57C7" w:rsidRDefault="006D57C7">
      <w:pPr>
        <w:jc w:val="both"/>
        <w:rPr>
          <w:rFonts w:ascii="Arial" w:hAnsi="Arial" w:cs="Arial"/>
        </w:rPr>
      </w:pPr>
      <w:r>
        <w:rPr>
          <w:rFonts w:ascii="Arial" w:hAnsi="Arial" w:cs="Arial"/>
        </w:rPr>
        <w:t>An individual may not have resources in excess of $750 and a couple may not own resources in excess of $1,000.</w:t>
      </w:r>
    </w:p>
    <w:p w:rsidR="006D57C7" w:rsidRDefault="006D57C7">
      <w:pPr>
        <w:jc w:val="both"/>
        <w:rPr>
          <w:rFonts w:ascii="Arial" w:hAnsi="Arial" w:cs="Arial"/>
        </w:rPr>
      </w:pPr>
    </w:p>
    <w:p w:rsidR="006D57C7" w:rsidRDefault="006D57C7">
      <w:pPr>
        <w:jc w:val="both"/>
        <w:rPr>
          <w:rFonts w:ascii="Arial" w:hAnsi="Arial" w:cs="Arial"/>
        </w:rPr>
      </w:pPr>
      <w:smartTag w:uri="urn:schemas-microsoft-com:office:smarttags" w:element="City">
        <w:smartTag w:uri="urn:schemas-microsoft-com:office:smarttags" w:element="place">
          <w:r>
            <w:rPr>
              <w:rFonts w:ascii="Arial" w:hAnsi="Arial" w:cs="Arial"/>
              <w:u w:val="single"/>
            </w:rPr>
            <w:t>Homestead</w:t>
          </w:r>
        </w:smartTag>
      </w:smartTag>
      <w:r>
        <w:rPr>
          <w:rFonts w:ascii="Arial" w:hAnsi="Arial" w:cs="Arial"/>
          <w:u w:val="single"/>
        </w:rPr>
        <w:t xml:space="preserve"> property</w:t>
      </w:r>
      <w:r>
        <w:rPr>
          <w:rFonts w:ascii="Arial" w:hAnsi="Arial" w:cs="Arial"/>
        </w:rPr>
        <w:t xml:space="preserve"> is the house which is occupied by the individual and the tract of land on which the house is situated. The value of the homestead is not considered as a resource in determining eligibility for an individual or couple.</w:t>
      </w:r>
    </w:p>
    <w:p w:rsidR="006D57C7" w:rsidRDefault="006D57C7">
      <w:pPr>
        <w:jc w:val="both"/>
        <w:rPr>
          <w:rFonts w:ascii="Arial" w:hAnsi="Arial" w:cs="Arial"/>
        </w:rPr>
      </w:pPr>
    </w:p>
    <w:p w:rsidR="006D57C7" w:rsidRDefault="006D57C7">
      <w:pPr>
        <w:jc w:val="both"/>
        <w:rPr>
          <w:rFonts w:ascii="Arial" w:hAnsi="Arial" w:cs="Arial"/>
        </w:rPr>
      </w:pPr>
      <w:r>
        <w:rPr>
          <w:rFonts w:ascii="Arial" w:hAnsi="Arial" w:cs="Arial"/>
          <w:u w:val="single"/>
        </w:rPr>
        <w:t>Non-homestead property</w:t>
      </w:r>
      <w:r>
        <w:rPr>
          <w:rFonts w:ascii="Arial" w:hAnsi="Arial" w:cs="Arial"/>
        </w:rPr>
        <w:t xml:space="preserve"> is any real property owned by the individual or couple that is not a part of the homestead. If the property is income producing, the value of the property is not considered in determining the individual’s, or couple’s eligibility. If the property is not income producing, the market value must be considered as a resource in determining eligibility.</w:t>
      </w:r>
    </w:p>
    <w:p w:rsidR="006D57C7" w:rsidRDefault="006D57C7">
      <w:pPr>
        <w:jc w:val="both"/>
        <w:rPr>
          <w:rFonts w:ascii="Arial" w:hAnsi="Arial" w:cs="Arial"/>
        </w:rPr>
      </w:pPr>
    </w:p>
    <w:p w:rsidR="006D57C7" w:rsidRDefault="006D57C7">
      <w:pPr>
        <w:ind w:left="1440" w:hanging="1440"/>
        <w:jc w:val="both"/>
        <w:rPr>
          <w:rFonts w:ascii="Arial" w:hAnsi="Arial" w:cs="Arial"/>
        </w:rPr>
      </w:pPr>
      <w:r>
        <w:rPr>
          <w:rFonts w:ascii="Arial" w:hAnsi="Arial" w:cs="Arial"/>
          <w:b/>
          <w:bCs/>
          <w:u w:val="single"/>
        </w:rPr>
        <w:t>Exception</w:t>
      </w:r>
      <w:r>
        <w:rPr>
          <w:rFonts w:ascii="Arial" w:hAnsi="Arial" w:cs="Arial"/>
        </w:rPr>
        <w:t>:</w:t>
      </w:r>
      <w:r>
        <w:rPr>
          <w:rFonts w:ascii="Arial" w:hAnsi="Arial" w:cs="Arial"/>
        </w:rPr>
        <w:tab/>
        <w:t>If the individual’s non-homestead property is being used as a homestead by relatives, the value of such property is not considered in determining eligibility even though no income is being received from the use of the property.</w:t>
      </w:r>
    </w:p>
    <w:p w:rsidR="006D57C7" w:rsidRDefault="006D57C7">
      <w:pPr>
        <w:jc w:val="both"/>
        <w:rPr>
          <w:rFonts w:ascii="Arial" w:hAnsi="Arial" w:cs="Arial"/>
        </w:rPr>
      </w:pPr>
    </w:p>
    <w:p w:rsidR="006D57C7" w:rsidRDefault="006D57C7">
      <w:pPr>
        <w:jc w:val="both"/>
        <w:rPr>
          <w:rFonts w:ascii="Arial" w:hAnsi="Arial" w:cs="Arial"/>
        </w:rPr>
      </w:pPr>
      <w:r>
        <w:rPr>
          <w:rFonts w:ascii="Arial" w:hAnsi="Arial" w:cs="Arial"/>
          <w:u w:val="single"/>
        </w:rPr>
        <w:t>Disposal of property</w:t>
      </w:r>
      <w:r>
        <w:rPr>
          <w:rFonts w:ascii="Arial" w:hAnsi="Arial" w:cs="Arial"/>
        </w:rPr>
        <w:t xml:space="preserve"> by an applicant or recipient of assistance without value received within two years prior to making application or at any time while receiving assistance </w:t>
      </w:r>
      <w:r>
        <w:rPr>
          <w:rFonts w:ascii="Arial" w:hAnsi="Arial" w:cs="Arial"/>
        </w:rPr>
        <w:lastRenderedPageBreak/>
        <w:t>renders the individual/couple ineligible for assistance until such time as full market value is received for the property.</w:t>
      </w:r>
    </w:p>
    <w:p w:rsidR="006D57C7" w:rsidRDefault="006D57C7">
      <w:pPr>
        <w:jc w:val="both"/>
        <w:rPr>
          <w:rFonts w:ascii="Arial" w:hAnsi="Arial" w:cs="Arial"/>
        </w:rPr>
      </w:pPr>
    </w:p>
    <w:p w:rsidR="006D57C7" w:rsidRDefault="006D57C7">
      <w:pPr>
        <w:jc w:val="both"/>
        <w:rPr>
          <w:rFonts w:ascii="Arial" w:hAnsi="Arial" w:cs="Arial"/>
          <w:b/>
          <w:bCs/>
        </w:rPr>
      </w:pPr>
      <w:r>
        <w:rPr>
          <w:rFonts w:ascii="Arial" w:hAnsi="Arial" w:cs="Arial"/>
          <w:u w:val="single"/>
        </w:rPr>
        <w:t>Personal property</w:t>
      </w:r>
      <w:r>
        <w:rPr>
          <w:rFonts w:ascii="Arial" w:hAnsi="Arial" w:cs="Arial"/>
        </w:rPr>
        <w:t xml:space="preserve"> consists of liquid assets such as savings, stocks and/or bonds, cash/loan value of life </w:t>
      </w:r>
      <w:r w:rsidR="00234FE1">
        <w:rPr>
          <w:rFonts w:ascii="Arial" w:hAnsi="Arial" w:cs="Arial"/>
        </w:rPr>
        <w:t>insurance policies, automobiles</w:t>
      </w:r>
      <w:r>
        <w:rPr>
          <w:rFonts w:ascii="Arial" w:hAnsi="Arial" w:cs="Arial"/>
        </w:rPr>
        <w:t>. The value of all personal property owned by the individual/couple, together with the value of real property owned, may not exceed the limitations set on ownership resources.</w:t>
      </w:r>
    </w:p>
    <w:p w:rsidR="006D57C7" w:rsidRDefault="006D57C7">
      <w:pPr>
        <w:jc w:val="both"/>
        <w:rPr>
          <w:rFonts w:ascii="Arial" w:hAnsi="Arial" w:cs="Arial"/>
        </w:rPr>
      </w:pPr>
    </w:p>
    <w:sectPr w:rsidR="006D57C7">
      <w:headerReference w:type="default" r:id="rId13"/>
      <w:footerReference w:type="even" r:id="rId14"/>
      <w:footerReference w:type="default" r:id="rId15"/>
      <w:pgSz w:w="12240" w:h="15840" w:code="1"/>
      <w:pgMar w:top="2736" w:right="1440" w:bottom="108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79" w:rsidRDefault="00445879">
      <w:r>
        <w:separator/>
      </w:r>
    </w:p>
  </w:endnote>
  <w:endnote w:type="continuationSeparator" w:id="0">
    <w:p w:rsidR="00445879" w:rsidRDefault="0044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C7" w:rsidRDefault="006D5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7C7" w:rsidRDefault="006D57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C7" w:rsidRDefault="006D5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274">
      <w:rPr>
        <w:rStyle w:val="PageNumber"/>
        <w:noProof/>
      </w:rPr>
      <w:t>1</w:t>
    </w:r>
    <w:r>
      <w:rPr>
        <w:rStyle w:val="PageNumber"/>
      </w:rPr>
      <w:fldChar w:fldCharType="end"/>
    </w:r>
  </w:p>
  <w:p w:rsidR="006D57C7" w:rsidRPr="006A7870" w:rsidRDefault="006A7870" w:rsidP="006A7870">
    <w:pPr>
      <w:pStyle w:val="Footer"/>
      <w:rPr>
        <w:rFonts w:ascii="Arial" w:hAnsi="Arial" w:cs="Arial"/>
        <w:szCs w:val="20"/>
      </w:rPr>
    </w:pPr>
    <w:r w:rsidRPr="006F2629">
      <w:rPr>
        <w:rFonts w:ascii="Arial" w:hAnsi="Arial" w:cs="Arial"/>
        <w:szCs w:val="20"/>
      </w:rPr>
      <w:t xml:space="preserve">Revision Month: </w:t>
    </w:r>
    <w:r w:rsidR="00A07425">
      <w:rPr>
        <w:rFonts w:ascii="Arial" w:hAnsi="Arial" w:cs="Arial"/>
        <w:szCs w:val="20"/>
      </w:rPr>
      <w:t>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79" w:rsidRDefault="00445879">
      <w:r>
        <w:separator/>
      </w:r>
    </w:p>
  </w:footnote>
  <w:footnote w:type="continuationSeparator" w:id="0">
    <w:p w:rsidR="00445879" w:rsidRDefault="0044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C7" w:rsidRDefault="006D57C7">
    <w:pPr>
      <w:pStyle w:val="Header"/>
      <w:tabs>
        <w:tab w:val="clear" w:pos="4320"/>
      </w:tabs>
      <w:jc w:val="center"/>
      <w:rPr>
        <w:rFonts w:ascii="Arial" w:hAnsi="Arial" w:cs="Arial"/>
        <w:caps/>
        <w:sz w:val="24"/>
      </w:rPr>
    </w:pPr>
    <w:smartTag w:uri="urn:schemas-microsoft-com:office:smarttags" w:element="State">
      <w:smartTag w:uri="urn:schemas-microsoft-com:office:smarttags" w:element="place">
        <w:r>
          <w:rPr>
            <w:rFonts w:ascii="Arial" w:hAnsi="Arial" w:cs="Arial"/>
            <w:caps/>
            <w:sz w:val="24"/>
          </w:rPr>
          <w:t>South Carolina</w:t>
        </w:r>
      </w:smartTag>
    </w:smartTag>
    <w:r>
      <w:rPr>
        <w:rFonts w:ascii="Arial" w:hAnsi="Arial" w:cs="Arial"/>
        <w:caps/>
        <w:sz w:val="24"/>
      </w:rPr>
      <w:t xml:space="preserve"> Department of Health and Human Services</w:t>
    </w:r>
  </w:p>
  <w:p w:rsidR="006D57C7" w:rsidRDefault="006D57C7">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rsidR="006D57C7" w:rsidRDefault="006D57C7">
    <w:pPr>
      <w:pStyle w:val="Header"/>
      <w:tabs>
        <w:tab w:val="clear" w:pos="4320"/>
      </w:tabs>
      <w:jc w:val="center"/>
      <w:rPr>
        <w:rFonts w:ascii="Arial" w:hAnsi="Arial" w:cs="Arial"/>
      </w:rPr>
    </w:pPr>
  </w:p>
  <w:p w:rsidR="006D57C7" w:rsidRDefault="006D57C7">
    <w:pPr>
      <w:pStyle w:val="Header"/>
      <w:tabs>
        <w:tab w:val="clear" w:pos="4320"/>
      </w:tabs>
      <w:rPr>
        <w:rFonts w:ascii="Arial" w:hAnsi="Arial" w:cs="Arial"/>
        <w:b/>
        <w:bCs/>
        <w:sz w:val="24"/>
      </w:rPr>
    </w:pPr>
    <w:r>
      <w:rPr>
        <w:rFonts w:ascii="Arial" w:hAnsi="Arial" w:cs="Arial"/>
        <w:b/>
        <w:bCs/>
        <w:sz w:val="24"/>
      </w:rPr>
      <w:t>CHAPTER 406 – Essential Spouse</w:t>
    </w:r>
  </w:p>
  <w:p w:rsidR="006D57C7" w:rsidRDefault="006D57C7">
    <w:pPr>
      <w:pStyle w:val="Header"/>
      <w:tabs>
        <w:tab w:val="clear" w:pos="4320"/>
      </w:tabs>
      <w:rPr>
        <w:rFonts w:ascii="Arial" w:hAnsi="Arial" w:cs="Arial"/>
        <w:b/>
        <w:bCs/>
      </w:rPr>
    </w:pPr>
  </w:p>
  <w:p w:rsidR="006D57C7" w:rsidRDefault="006D57C7">
    <w:pPr>
      <w:pStyle w:val="Header"/>
      <w:tabs>
        <w:tab w:val="clear" w:pos="4320"/>
        <w:tab w:val="clear" w:pos="8640"/>
        <w:tab w:val="right" w:pos="9360"/>
      </w:tabs>
      <w:rPr>
        <w:sz w:val="24"/>
      </w:rPr>
    </w:pPr>
    <w:r>
      <w:rPr>
        <w:rFonts w:ascii="Arial" w:hAnsi="Arial" w:cs="Arial"/>
        <w:sz w:val="24"/>
        <w:u w:val="single"/>
      </w:rPr>
      <w:tab/>
      <w:t xml:space="preserve">Page </w:t>
    </w:r>
    <w:r>
      <w:rPr>
        <w:rStyle w:val="PageNumber"/>
        <w:rFonts w:ascii="Arial" w:hAnsi="Arial" w:cs="Arial"/>
        <w:sz w:val="24"/>
        <w:u w:val="single"/>
      </w:rPr>
      <w:fldChar w:fldCharType="begin"/>
    </w:r>
    <w:r>
      <w:rPr>
        <w:rStyle w:val="PageNumber"/>
        <w:rFonts w:ascii="Arial" w:hAnsi="Arial" w:cs="Arial"/>
        <w:sz w:val="24"/>
        <w:u w:val="single"/>
      </w:rPr>
      <w:instrText xml:space="preserve"> PAGE </w:instrText>
    </w:r>
    <w:r>
      <w:rPr>
        <w:rStyle w:val="PageNumber"/>
        <w:rFonts w:ascii="Arial" w:hAnsi="Arial" w:cs="Arial"/>
        <w:sz w:val="24"/>
        <w:u w:val="single"/>
      </w:rPr>
      <w:fldChar w:fldCharType="separate"/>
    </w:r>
    <w:r w:rsidR="00D80274">
      <w:rPr>
        <w:rStyle w:val="PageNumber"/>
        <w:rFonts w:ascii="Arial" w:hAnsi="Arial" w:cs="Arial"/>
        <w:noProof/>
        <w:sz w:val="24"/>
        <w:u w:val="single"/>
      </w:rPr>
      <w:t>1</w:t>
    </w:r>
    <w:r>
      <w:rPr>
        <w:rStyle w:val="PageNumber"/>
        <w:rFonts w:ascii="Arial" w:hAnsi="Arial" w:cs="Arial"/>
        <w:sz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pStyle w:val="QuickA"/>
      <w:lvlText w:val="%1)"/>
      <w:lvlJc w:val="left"/>
      <w:pPr>
        <w:tabs>
          <w:tab w:val="num" w:pos="1620"/>
        </w:tabs>
      </w:pPr>
      <w:rPr>
        <w:rFonts w:ascii="Univers" w:hAnsi="Univers" w:cs="Times New Roman"/>
        <w:sz w:val="24"/>
        <w:szCs w:val="24"/>
      </w:rPr>
    </w:lvl>
  </w:abstractNum>
  <w:abstractNum w:abstractNumId="1">
    <w:nsid w:val="48E11E1E"/>
    <w:multiLevelType w:val="hybridMultilevel"/>
    <w:tmpl w:val="3FAC24C0"/>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517B239C"/>
    <w:multiLevelType w:val="hybridMultilevel"/>
    <w:tmpl w:val="85E41B54"/>
    <w:lvl w:ilvl="0" w:tplc="0ADC1AE8">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2960850"/>
    <w:multiLevelType w:val="hybridMultilevel"/>
    <w:tmpl w:val="4F8E863C"/>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CC31D9"/>
    <w:multiLevelType w:val="hybridMultilevel"/>
    <w:tmpl w:val="2124DFA0"/>
    <w:lvl w:ilvl="0" w:tplc="C5CCB4FE">
      <w:numFmt w:val="bullet"/>
      <w:lvlText w:val="•"/>
      <w:legacy w:legacy="1" w:legacySpace="0" w:legacyIndent="330"/>
      <w:lvlJc w:val="left"/>
      <w:pPr>
        <w:ind w:left="2490" w:hanging="330"/>
      </w:pPr>
      <w:rPr>
        <w:rFonts w:ascii="Univers" w:hAnsi="Univer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61554FFB"/>
    <w:multiLevelType w:val="hybridMultilevel"/>
    <w:tmpl w:val="9928364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D38E3C0">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6F689A"/>
    <w:multiLevelType w:val="hybridMultilevel"/>
    <w:tmpl w:val="50FAE114"/>
    <w:lvl w:ilvl="0" w:tplc="DFE263C6">
      <w:start w:val="1"/>
      <w:numFmt w:val="decimal"/>
      <w:lvlText w:val="%1."/>
      <w:lvlJc w:val="left"/>
      <w:pPr>
        <w:tabs>
          <w:tab w:val="num" w:pos="2520"/>
        </w:tabs>
        <w:ind w:left="2520" w:hanging="360"/>
      </w:pPr>
      <w:rPr>
        <w:rFonts w:hint="default"/>
      </w:rPr>
    </w:lvl>
    <w:lvl w:ilvl="1" w:tplc="813C703A">
      <w:start w:val="2"/>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4"/>
  </w:num>
  <w:num w:numId="2">
    <w:abstractNumId w:val="1"/>
  </w:num>
  <w:num w:numId="3">
    <w:abstractNumId w:val="0"/>
    <w:lvlOverride w:ilvl="0">
      <w:startOverride w:val="1"/>
      <w:lvl w:ilvl="0">
        <w:start w:val="1"/>
        <w:numFmt w:val="decimal"/>
        <w:pStyle w:val="QuickA"/>
        <w:lvlText w:val="%1)"/>
        <w:lvlJc w:val="left"/>
      </w:lvl>
    </w:lvlOverride>
  </w:num>
  <w:num w:numId="4">
    <w:abstractNumId w:val="6"/>
  </w:num>
  <w:num w:numId="5">
    <w:abstractNumId w:val="5"/>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70"/>
    <w:rsid w:val="00234FE1"/>
    <w:rsid w:val="00445879"/>
    <w:rsid w:val="004C311F"/>
    <w:rsid w:val="006A7870"/>
    <w:rsid w:val="006D57C7"/>
    <w:rsid w:val="00827377"/>
    <w:rsid w:val="00833574"/>
    <w:rsid w:val="00A07425"/>
    <w:rsid w:val="00D8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right" w:pos="9360"/>
      </w:tabs>
      <w:autoSpaceDE w:val="0"/>
      <w:autoSpaceDN w:val="0"/>
      <w:adjustRightInd w:val="0"/>
      <w:ind w:left="1440" w:hanging="1440"/>
      <w:outlineLvl w:val="0"/>
    </w:pPr>
    <w:rPr>
      <w:rFonts w:ascii="Arial" w:hAnsi="Arial" w:cs="Arial"/>
      <w:b/>
      <w:bCs/>
      <w:sz w:val="28"/>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 w:val="left" w:pos="2880"/>
        <w:tab w:val="left" w:pos="3600"/>
        <w:tab w:val="right" w:pos="9360"/>
      </w:tabs>
      <w:autoSpaceDE w:val="0"/>
      <w:autoSpaceDN w:val="0"/>
      <w:adjustRightInd w:val="0"/>
      <w:outlineLvl w:val="1"/>
    </w:pPr>
    <w:rPr>
      <w:rFonts w:ascii="Univers" w:hAnsi="Univer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2"/>
    </w:pPr>
    <w:rPr>
      <w:rFonts w:ascii="Univers" w:hAnsi="Univers"/>
      <w:b/>
      <w:bCs/>
      <w:szCs w:val="20"/>
    </w:rPr>
  </w:style>
  <w:style w:type="paragraph" w:styleId="Heading4">
    <w:name w:val="heading 4"/>
    <w:basedOn w:val="Normal"/>
    <w:next w:val="Normal"/>
    <w:qFormat/>
    <w:pPr>
      <w:keepNext/>
      <w:ind w:left="450"/>
      <w:outlineLvl w:val="3"/>
    </w:pPr>
    <w:rPr>
      <w:rFonts w:ascii="Comic Sans MS" w:hAnsi="Comic Sans M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styleId="Footer">
    <w:name w:val="footer"/>
    <w:basedOn w:val="Normal"/>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BodyTextIndent">
    <w:name w:val="Body Text Indent"/>
    <w:basedOn w:val="Normal"/>
    <w:pPr>
      <w:ind w:left="900"/>
      <w:jc w:val="both"/>
    </w:pPr>
    <w:rPr>
      <w:rFonts w:ascii="Univers" w:hAnsi="Univers"/>
    </w:rPr>
  </w:style>
  <w:style w:type="paragraph" w:styleId="BodyTextIndent2">
    <w:name w:val="Body Text Indent 2"/>
    <w:basedOn w:val="Normal"/>
    <w:pPr>
      <w:ind w:firstLine="900"/>
      <w:jc w:val="both"/>
    </w:pPr>
    <w:rPr>
      <w:rFonts w:ascii="Univers" w:hAnsi="Univers"/>
    </w:rPr>
  </w:style>
  <w:style w:type="paragraph" w:styleId="BodyText">
    <w:name w:val="Body Text"/>
    <w:basedOn w:val="Normal"/>
    <w:pPr>
      <w:tabs>
        <w:tab w:val="left" w:pos="900"/>
      </w:tabs>
    </w:pPr>
    <w:rPr>
      <w:rFonts w:ascii="Univers" w:hAnsi="Univers"/>
      <w:sz w:val="20"/>
    </w:rPr>
  </w:style>
  <w:style w:type="paragraph" w:customStyle="1" w:styleId="Style">
    <w:name w:val="Style"/>
    <w:basedOn w:val="Normal"/>
    <w:pPr>
      <w:widowControl w:val="0"/>
      <w:autoSpaceDE w:val="0"/>
      <w:autoSpaceDN w:val="0"/>
      <w:adjustRightInd w:val="0"/>
      <w:ind w:left="240" w:hanging="240"/>
    </w:pPr>
    <w:rPr>
      <w:rFonts w:ascii="Univers" w:hAnsi="Univers"/>
      <w:sz w:val="20"/>
    </w:rPr>
  </w:style>
  <w:style w:type="paragraph" w:styleId="BodyTextIndent3">
    <w:name w:val="Body Text Indent 3"/>
    <w:basedOn w:val="Normal"/>
    <w:pPr>
      <w:widowControl w:val="0"/>
      <w:tabs>
        <w:tab w:val="left" w:pos="-1080"/>
        <w:tab w:val="left" w:pos="-720"/>
        <w:tab w:val="left" w:pos="0"/>
        <w:tab w:val="left" w:pos="900"/>
        <w:tab w:val="left" w:pos="1350"/>
        <w:tab w:val="left" w:pos="1800"/>
        <w:tab w:val="left" w:pos="2160"/>
        <w:tab w:val="left" w:pos="2520"/>
        <w:tab w:val="left" w:pos="2880"/>
        <w:tab w:val="left" w:pos="3240"/>
        <w:tab w:val="left" w:pos="3600"/>
        <w:tab w:val="left" w:pos="4050"/>
        <w:tab w:val="left" w:pos="4500"/>
        <w:tab w:val="left" w:pos="4950"/>
        <w:tab w:val="left" w:pos="5400"/>
        <w:tab w:val="left" w:pos="5850"/>
        <w:tab w:val="left" w:pos="6300"/>
        <w:tab w:val="left" w:pos="6750"/>
        <w:tab w:val="left" w:pos="7200"/>
        <w:tab w:val="left" w:pos="7650"/>
        <w:tab w:val="left" w:pos="8100"/>
      </w:tabs>
      <w:autoSpaceDE w:val="0"/>
      <w:autoSpaceDN w:val="0"/>
      <w:adjustRightInd w:val="0"/>
      <w:ind w:left="2520" w:hanging="360"/>
      <w:jc w:val="both"/>
    </w:pPr>
    <w:rPr>
      <w:rFonts w:ascii="Univers" w:hAnsi="Univers"/>
    </w:rPr>
  </w:style>
  <w:style w:type="paragraph" w:customStyle="1" w:styleId="Quicka0">
    <w:name w:val="Quick a)"/>
    <w:basedOn w:val="Normal"/>
    <w:pPr>
      <w:widowControl w:val="0"/>
      <w:numPr>
        <w:numId w:val="3"/>
      </w:numPr>
      <w:autoSpaceDE w:val="0"/>
      <w:autoSpaceDN w:val="0"/>
      <w:adjustRightInd w:val="0"/>
      <w:ind w:left="1620" w:hanging="180"/>
    </w:pPr>
    <w:rPr>
      <w:sz w:val="20"/>
    </w:rPr>
  </w:style>
  <w:style w:type="paragraph" w:customStyle="1" w:styleId="Quick1">
    <w:name w:val="Quick 1."/>
    <w:basedOn w:val="Normal"/>
    <w:pPr>
      <w:widowControl w:val="0"/>
      <w:numPr>
        <w:numId w:val="2"/>
      </w:numPr>
      <w:tabs>
        <w:tab w:val="clear" w:pos="3600"/>
        <w:tab w:val="num" w:pos="360"/>
      </w:tabs>
      <w:autoSpaceDE w:val="0"/>
      <w:autoSpaceDN w:val="0"/>
      <w:adjustRightInd w:val="0"/>
      <w:ind w:left="2520" w:hanging="450"/>
    </w:pPr>
    <w:rPr>
      <w:sz w:val="20"/>
    </w:rPr>
  </w:style>
  <w:style w:type="paragraph" w:customStyle="1" w:styleId="QuickA">
    <w:name w:val="Quick A."/>
    <w:basedOn w:val="Normal"/>
    <w:pPr>
      <w:widowControl w:val="0"/>
      <w:numPr>
        <w:numId w:val="1"/>
      </w:numPr>
      <w:autoSpaceDE w:val="0"/>
      <w:autoSpaceDN w:val="0"/>
      <w:adjustRightInd w:val="0"/>
      <w:ind w:left="2700" w:hanging="180"/>
    </w:pPr>
    <w:rPr>
      <w:sz w:val="20"/>
    </w:rPr>
  </w:style>
  <w:style w:type="paragraph" w:styleId="BodyText2">
    <w:name w:val="Body Text 2"/>
    <w:basedOn w:val="Normal"/>
    <w:pPr>
      <w:jc w:val="both"/>
    </w:pPr>
    <w:rPr>
      <w:rFonts w:ascii="Arial" w:hAnsi="Arial" w:cs="Arial"/>
    </w:rPr>
  </w:style>
  <w:style w:type="paragraph" w:styleId="TOC2">
    <w:name w:val="toc 2"/>
    <w:basedOn w:val="Normal"/>
    <w:next w:val="Normal"/>
    <w:autoRedefine/>
    <w:uiPriority w:val="39"/>
    <w:pPr>
      <w:tabs>
        <w:tab w:val="right" w:leader="dot" w:pos="9350"/>
      </w:tabs>
      <w:ind w:left="2160" w:hanging="1440"/>
    </w:pPr>
    <w:rPr>
      <w:rFonts w:ascii="Arial" w:hAnsi="Arial" w:cs="Arial"/>
      <w:noProof/>
    </w:rPr>
  </w:style>
  <w:style w:type="paragraph" w:styleId="TOC1">
    <w:name w:val="toc 1"/>
    <w:basedOn w:val="Normal"/>
    <w:next w:val="Normal"/>
    <w:autoRedefine/>
    <w:uiPriority w:val="39"/>
    <w:pPr>
      <w:tabs>
        <w:tab w:val="right" w:leader="dot" w:pos="9360"/>
      </w:tabs>
      <w:spacing w:after="120"/>
      <w:ind w:left="2160" w:right="360" w:hanging="2160"/>
    </w:pPr>
    <w:rPr>
      <w:rFonts w:ascii="Arial" w:hAnsi="Arial"/>
      <w:b/>
      <w:bCs/>
      <w:noProof/>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ManualHeading1">
    <w:name w:val="Manual Heading 1"/>
    <w:basedOn w:val="Heading1"/>
    <w:pPr>
      <w:widowControl/>
      <w:jc w:val="both"/>
    </w:pPr>
  </w:style>
  <w:style w:type="paragraph" w:customStyle="1" w:styleId="ManualHeading2">
    <w:name w:val="Manual Heading 2"/>
    <w:basedOn w:val="Heading2"/>
    <w:pPr>
      <w:tabs>
        <w:tab w:val="clear" w:pos="-1440"/>
        <w:tab w:val="clear" w:pos="-720"/>
        <w:tab w:val="clear" w:pos="0"/>
        <w:tab w:val="clear" w:pos="720"/>
        <w:tab w:val="clear" w:pos="1440"/>
        <w:tab w:val="clear" w:pos="2160"/>
        <w:tab w:val="clear" w:pos="2880"/>
        <w:tab w:val="clear" w:pos="3600"/>
      </w:tabs>
      <w:ind w:left="1440" w:hanging="1440"/>
    </w:pPr>
    <w:rPr>
      <w:rFonts w:ascii="Arial" w:hAnsi="Arial" w:cs="Arial"/>
      <w:b/>
      <w:b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right" w:pos="9360"/>
      </w:tabs>
      <w:autoSpaceDE w:val="0"/>
      <w:autoSpaceDN w:val="0"/>
      <w:adjustRightInd w:val="0"/>
      <w:ind w:left="1440" w:hanging="1440"/>
      <w:outlineLvl w:val="0"/>
    </w:pPr>
    <w:rPr>
      <w:rFonts w:ascii="Arial" w:hAnsi="Arial" w:cs="Arial"/>
      <w:b/>
      <w:bCs/>
      <w:sz w:val="28"/>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 w:val="left" w:pos="2880"/>
        <w:tab w:val="left" w:pos="3600"/>
        <w:tab w:val="right" w:pos="9360"/>
      </w:tabs>
      <w:autoSpaceDE w:val="0"/>
      <w:autoSpaceDN w:val="0"/>
      <w:adjustRightInd w:val="0"/>
      <w:outlineLvl w:val="1"/>
    </w:pPr>
    <w:rPr>
      <w:rFonts w:ascii="Univers" w:hAnsi="Univer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2"/>
    </w:pPr>
    <w:rPr>
      <w:rFonts w:ascii="Univers" w:hAnsi="Univers"/>
      <w:b/>
      <w:bCs/>
      <w:szCs w:val="20"/>
    </w:rPr>
  </w:style>
  <w:style w:type="paragraph" w:styleId="Heading4">
    <w:name w:val="heading 4"/>
    <w:basedOn w:val="Normal"/>
    <w:next w:val="Normal"/>
    <w:qFormat/>
    <w:pPr>
      <w:keepNext/>
      <w:ind w:left="450"/>
      <w:outlineLvl w:val="3"/>
    </w:pPr>
    <w:rPr>
      <w:rFonts w:ascii="Comic Sans MS" w:hAnsi="Comic Sans M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styleId="Footer">
    <w:name w:val="footer"/>
    <w:basedOn w:val="Normal"/>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BodyTextIndent">
    <w:name w:val="Body Text Indent"/>
    <w:basedOn w:val="Normal"/>
    <w:pPr>
      <w:ind w:left="900"/>
      <w:jc w:val="both"/>
    </w:pPr>
    <w:rPr>
      <w:rFonts w:ascii="Univers" w:hAnsi="Univers"/>
    </w:rPr>
  </w:style>
  <w:style w:type="paragraph" w:styleId="BodyTextIndent2">
    <w:name w:val="Body Text Indent 2"/>
    <w:basedOn w:val="Normal"/>
    <w:pPr>
      <w:ind w:firstLine="900"/>
      <w:jc w:val="both"/>
    </w:pPr>
    <w:rPr>
      <w:rFonts w:ascii="Univers" w:hAnsi="Univers"/>
    </w:rPr>
  </w:style>
  <w:style w:type="paragraph" w:styleId="BodyText">
    <w:name w:val="Body Text"/>
    <w:basedOn w:val="Normal"/>
    <w:pPr>
      <w:tabs>
        <w:tab w:val="left" w:pos="900"/>
      </w:tabs>
    </w:pPr>
    <w:rPr>
      <w:rFonts w:ascii="Univers" w:hAnsi="Univers"/>
      <w:sz w:val="20"/>
    </w:rPr>
  </w:style>
  <w:style w:type="paragraph" w:customStyle="1" w:styleId="Style">
    <w:name w:val="Style"/>
    <w:basedOn w:val="Normal"/>
    <w:pPr>
      <w:widowControl w:val="0"/>
      <w:autoSpaceDE w:val="0"/>
      <w:autoSpaceDN w:val="0"/>
      <w:adjustRightInd w:val="0"/>
      <w:ind w:left="240" w:hanging="240"/>
    </w:pPr>
    <w:rPr>
      <w:rFonts w:ascii="Univers" w:hAnsi="Univers"/>
      <w:sz w:val="20"/>
    </w:rPr>
  </w:style>
  <w:style w:type="paragraph" w:styleId="BodyTextIndent3">
    <w:name w:val="Body Text Indent 3"/>
    <w:basedOn w:val="Normal"/>
    <w:pPr>
      <w:widowControl w:val="0"/>
      <w:tabs>
        <w:tab w:val="left" w:pos="-1080"/>
        <w:tab w:val="left" w:pos="-720"/>
        <w:tab w:val="left" w:pos="0"/>
        <w:tab w:val="left" w:pos="900"/>
        <w:tab w:val="left" w:pos="1350"/>
        <w:tab w:val="left" w:pos="1800"/>
        <w:tab w:val="left" w:pos="2160"/>
        <w:tab w:val="left" w:pos="2520"/>
        <w:tab w:val="left" w:pos="2880"/>
        <w:tab w:val="left" w:pos="3240"/>
        <w:tab w:val="left" w:pos="3600"/>
        <w:tab w:val="left" w:pos="4050"/>
        <w:tab w:val="left" w:pos="4500"/>
        <w:tab w:val="left" w:pos="4950"/>
        <w:tab w:val="left" w:pos="5400"/>
        <w:tab w:val="left" w:pos="5850"/>
        <w:tab w:val="left" w:pos="6300"/>
        <w:tab w:val="left" w:pos="6750"/>
        <w:tab w:val="left" w:pos="7200"/>
        <w:tab w:val="left" w:pos="7650"/>
        <w:tab w:val="left" w:pos="8100"/>
      </w:tabs>
      <w:autoSpaceDE w:val="0"/>
      <w:autoSpaceDN w:val="0"/>
      <w:adjustRightInd w:val="0"/>
      <w:ind w:left="2520" w:hanging="360"/>
      <w:jc w:val="both"/>
    </w:pPr>
    <w:rPr>
      <w:rFonts w:ascii="Univers" w:hAnsi="Univers"/>
    </w:rPr>
  </w:style>
  <w:style w:type="paragraph" w:customStyle="1" w:styleId="Quicka0">
    <w:name w:val="Quick a)"/>
    <w:basedOn w:val="Normal"/>
    <w:pPr>
      <w:widowControl w:val="0"/>
      <w:numPr>
        <w:numId w:val="3"/>
      </w:numPr>
      <w:autoSpaceDE w:val="0"/>
      <w:autoSpaceDN w:val="0"/>
      <w:adjustRightInd w:val="0"/>
      <w:ind w:left="1620" w:hanging="180"/>
    </w:pPr>
    <w:rPr>
      <w:sz w:val="20"/>
    </w:rPr>
  </w:style>
  <w:style w:type="paragraph" w:customStyle="1" w:styleId="Quick1">
    <w:name w:val="Quick 1."/>
    <w:basedOn w:val="Normal"/>
    <w:pPr>
      <w:widowControl w:val="0"/>
      <w:numPr>
        <w:numId w:val="2"/>
      </w:numPr>
      <w:tabs>
        <w:tab w:val="clear" w:pos="3600"/>
        <w:tab w:val="num" w:pos="360"/>
      </w:tabs>
      <w:autoSpaceDE w:val="0"/>
      <w:autoSpaceDN w:val="0"/>
      <w:adjustRightInd w:val="0"/>
      <w:ind w:left="2520" w:hanging="450"/>
    </w:pPr>
    <w:rPr>
      <w:sz w:val="20"/>
    </w:rPr>
  </w:style>
  <w:style w:type="paragraph" w:customStyle="1" w:styleId="QuickA">
    <w:name w:val="Quick A."/>
    <w:basedOn w:val="Normal"/>
    <w:pPr>
      <w:widowControl w:val="0"/>
      <w:numPr>
        <w:numId w:val="1"/>
      </w:numPr>
      <w:autoSpaceDE w:val="0"/>
      <w:autoSpaceDN w:val="0"/>
      <w:adjustRightInd w:val="0"/>
      <w:ind w:left="2700" w:hanging="180"/>
    </w:pPr>
    <w:rPr>
      <w:sz w:val="20"/>
    </w:rPr>
  </w:style>
  <w:style w:type="paragraph" w:styleId="BodyText2">
    <w:name w:val="Body Text 2"/>
    <w:basedOn w:val="Normal"/>
    <w:pPr>
      <w:jc w:val="both"/>
    </w:pPr>
    <w:rPr>
      <w:rFonts w:ascii="Arial" w:hAnsi="Arial" w:cs="Arial"/>
    </w:rPr>
  </w:style>
  <w:style w:type="paragraph" w:styleId="TOC2">
    <w:name w:val="toc 2"/>
    <w:basedOn w:val="Normal"/>
    <w:next w:val="Normal"/>
    <w:autoRedefine/>
    <w:uiPriority w:val="39"/>
    <w:pPr>
      <w:tabs>
        <w:tab w:val="right" w:leader="dot" w:pos="9350"/>
      </w:tabs>
      <w:ind w:left="2160" w:hanging="1440"/>
    </w:pPr>
    <w:rPr>
      <w:rFonts w:ascii="Arial" w:hAnsi="Arial" w:cs="Arial"/>
      <w:noProof/>
    </w:rPr>
  </w:style>
  <w:style w:type="paragraph" w:styleId="TOC1">
    <w:name w:val="toc 1"/>
    <w:basedOn w:val="Normal"/>
    <w:next w:val="Normal"/>
    <w:autoRedefine/>
    <w:uiPriority w:val="39"/>
    <w:pPr>
      <w:tabs>
        <w:tab w:val="right" w:leader="dot" w:pos="9360"/>
      </w:tabs>
      <w:spacing w:after="120"/>
      <w:ind w:left="2160" w:right="360" w:hanging="2160"/>
    </w:pPr>
    <w:rPr>
      <w:rFonts w:ascii="Arial" w:hAnsi="Arial"/>
      <w:b/>
      <w:bCs/>
      <w:noProof/>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ManualHeading1">
    <w:name w:val="Manual Heading 1"/>
    <w:basedOn w:val="Heading1"/>
    <w:pPr>
      <w:widowControl/>
      <w:jc w:val="both"/>
    </w:pPr>
  </w:style>
  <w:style w:type="paragraph" w:customStyle="1" w:styleId="ManualHeading2">
    <w:name w:val="Manual Heading 2"/>
    <w:basedOn w:val="Heading2"/>
    <w:pPr>
      <w:tabs>
        <w:tab w:val="clear" w:pos="-1440"/>
        <w:tab w:val="clear" w:pos="-720"/>
        <w:tab w:val="clear" w:pos="0"/>
        <w:tab w:val="clear" w:pos="720"/>
        <w:tab w:val="clear" w:pos="1440"/>
        <w:tab w:val="clear" w:pos="2160"/>
        <w:tab w:val="clear" w:pos="2880"/>
        <w:tab w:val="clear" w:pos="3600"/>
      </w:tabs>
      <w:ind w:left="1440" w:hanging="1440"/>
    </w:pPr>
    <w:rPr>
      <w:rFonts w:ascii="Arial" w:hAnsi="Arial" w:cs="Arial"/>
      <w:b/>
      <w:b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7" ma:contentTypeDescription="Create a new document." ma:contentTypeScope="" ma:versionID="d18363eccbc909b14b1e799f5186406e">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f72026d1c05e6646c1acc82378a9b80b"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c39a5cb0-216e-41a0-bbeb-5bfa6ec8914d">R2UUKJDZ4VCH-2180-611</_dlc_DocId>
    <_dlc_DocIdUrl xmlns="c39a5cb0-216e-41a0-bbeb-5bfa6ec8914d">
      <Url>https://team.scdhhs.gov/pmo/ProjectRepository/1211207/_layouts/DocIdRedir.aspx?ID=R2UUKJDZ4VCH-2180-611</Url>
      <Description>R2UUKJDZ4VCH-2180-611</Description>
    </_dlc_DocIdUrl>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Props1.xml><?xml version="1.0" encoding="utf-8"?>
<ds:datastoreItem xmlns:ds="http://schemas.openxmlformats.org/officeDocument/2006/customXml" ds:itemID="{04205830-D7E1-4A10-AA67-3A3666735951}">
  <ds:schemaRefs>
    <ds:schemaRef ds:uri="http://schemas.microsoft.com/sharepoint/v3/contenttype/forms"/>
  </ds:schemaRefs>
</ds:datastoreItem>
</file>

<file path=customXml/itemProps2.xml><?xml version="1.0" encoding="utf-8"?>
<ds:datastoreItem xmlns:ds="http://schemas.openxmlformats.org/officeDocument/2006/customXml" ds:itemID="{8FFCBDB8-6667-42D2-AE34-B2BE6F4B5386}"/>
</file>

<file path=customXml/itemProps3.xml><?xml version="1.0" encoding="utf-8"?>
<ds:datastoreItem xmlns:ds="http://schemas.openxmlformats.org/officeDocument/2006/customXml" ds:itemID="{B0C0B4F0-8CD2-4D2C-A9AC-1BC6FC839A72}">
  <ds:schemaRefs>
    <ds:schemaRef ds:uri="http://schemas.microsoft.com/office/2006/metadata/longProperties"/>
  </ds:schemaRefs>
</ds:datastoreItem>
</file>

<file path=customXml/itemProps4.xml><?xml version="1.0" encoding="utf-8"?>
<ds:datastoreItem xmlns:ds="http://schemas.openxmlformats.org/officeDocument/2006/customXml" ds:itemID="{2A909885-037F-406D-9D31-B6A86A4DF0E1}"/>
</file>

<file path=customXml/itemProps5.xml><?xml version="1.0" encoding="utf-8"?>
<ds:datastoreItem xmlns:ds="http://schemas.openxmlformats.org/officeDocument/2006/customXml" ds:itemID="{4C1EFF87-A4C0-4FFA-B279-D37F5A5F8F9D}">
  <ds:schemaRefs>
    <ds:schemaRef ds:uri="http://www.w3.org/XML/1998/namespace"/>
    <ds:schemaRef ds:uri="http://purl.org/dc/dcmitype/"/>
    <ds:schemaRef ds:uri="http://purl.org/dc/elements/1.1/"/>
    <ds:schemaRef ds:uri="http://purl.org/dc/terms/"/>
    <ds:schemaRef ds:uri="http://schemas.microsoft.com/office/2006/documentManagement/types"/>
    <ds:schemaRef ds:uri="10781d7c-6070-4b3e-ab1f-f71bff812929"/>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Chapter 406 - Essential Spouse</vt:lpstr>
    </vt:vector>
  </TitlesOfParts>
  <Company/>
  <LinksUpToDate>false</LinksUpToDate>
  <CharactersWithSpaces>9288</CharactersWithSpaces>
  <SharedDoc>false</SharedDoc>
  <HLinks>
    <vt:vector size="36" baseType="variant">
      <vt:variant>
        <vt:i4>1572917</vt:i4>
      </vt:variant>
      <vt:variant>
        <vt:i4>32</vt:i4>
      </vt:variant>
      <vt:variant>
        <vt:i4>0</vt:i4>
      </vt:variant>
      <vt:variant>
        <vt:i4>5</vt:i4>
      </vt:variant>
      <vt:variant>
        <vt:lpwstr/>
      </vt:variant>
      <vt:variant>
        <vt:lpwstr>_Toc405374387</vt:lpwstr>
      </vt:variant>
      <vt:variant>
        <vt:i4>1572917</vt:i4>
      </vt:variant>
      <vt:variant>
        <vt:i4>26</vt:i4>
      </vt:variant>
      <vt:variant>
        <vt:i4>0</vt:i4>
      </vt:variant>
      <vt:variant>
        <vt:i4>5</vt:i4>
      </vt:variant>
      <vt:variant>
        <vt:lpwstr/>
      </vt:variant>
      <vt:variant>
        <vt:lpwstr>_Toc405374386</vt:lpwstr>
      </vt:variant>
      <vt:variant>
        <vt:i4>1572917</vt:i4>
      </vt:variant>
      <vt:variant>
        <vt:i4>20</vt:i4>
      </vt:variant>
      <vt:variant>
        <vt:i4>0</vt:i4>
      </vt:variant>
      <vt:variant>
        <vt:i4>5</vt:i4>
      </vt:variant>
      <vt:variant>
        <vt:lpwstr/>
      </vt:variant>
      <vt:variant>
        <vt:lpwstr>_Toc405374385</vt:lpwstr>
      </vt:variant>
      <vt:variant>
        <vt:i4>1572917</vt:i4>
      </vt:variant>
      <vt:variant>
        <vt:i4>14</vt:i4>
      </vt:variant>
      <vt:variant>
        <vt:i4>0</vt:i4>
      </vt:variant>
      <vt:variant>
        <vt:i4>5</vt:i4>
      </vt:variant>
      <vt:variant>
        <vt:lpwstr/>
      </vt:variant>
      <vt:variant>
        <vt:lpwstr>_Toc405374384</vt:lpwstr>
      </vt:variant>
      <vt:variant>
        <vt:i4>1572917</vt:i4>
      </vt:variant>
      <vt:variant>
        <vt:i4>8</vt:i4>
      </vt:variant>
      <vt:variant>
        <vt:i4>0</vt:i4>
      </vt:variant>
      <vt:variant>
        <vt:i4>5</vt:i4>
      </vt:variant>
      <vt:variant>
        <vt:lpwstr/>
      </vt:variant>
      <vt:variant>
        <vt:lpwstr>_Toc405374383</vt:lpwstr>
      </vt:variant>
      <vt:variant>
        <vt:i4>1572917</vt:i4>
      </vt:variant>
      <vt:variant>
        <vt:i4>2</vt:i4>
      </vt:variant>
      <vt:variant>
        <vt:i4>0</vt:i4>
      </vt:variant>
      <vt:variant>
        <vt:i4>5</vt:i4>
      </vt:variant>
      <vt:variant>
        <vt:lpwstr/>
      </vt:variant>
      <vt:variant>
        <vt:lpwstr>_Toc405374382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406 - Essential Spouse</dc:title>
  <dc:creator>DHHS South Carolina</dc:creator>
  <cp:lastModifiedBy>Julius Covington</cp:lastModifiedBy>
  <cp:revision>2</cp:revision>
  <cp:lastPrinted>2005-11-01T19:28:00Z</cp:lastPrinted>
  <dcterms:created xsi:type="dcterms:W3CDTF">2014-12-09T17:19:00Z</dcterms:created>
  <dcterms:modified xsi:type="dcterms:W3CDTF">2014-12-09T17:19:00Z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R2UUKJDZ4VCH-2180-611</vt:lpwstr>
  </property>
  <property fmtid="{D5CDD505-2E9C-101B-9397-08002B2CF9AE}" pid="3" name="_dlc_DocIdItemGuid">
    <vt:lpwstr>c51f4279-9542-46c2-8cfd-785f19989f77</vt:lpwstr>
  </property>
  <property fmtid="{D5CDD505-2E9C-101B-9397-08002B2CF9AE}" pid="4" name="_dlc_DocIdUrl">
    <vt:lpwstr>https://team.scdhhs.gov/pmo/ProjectRepository/1211207/_layouts/DocIdRedir.aspx?ID=R2UUKJDZ4VCH-2180-611, R2UUKJDZ4VCH-2180-611</vt:lpwstr>
  </property>
  <property fmtid="{D5CDD505-2E9C-101B-9397-08002B2CF9AE}" pid="5" name="ContentTypeId">
    <vt:lpwstr>0x010100C672CC90DB8DF742AF3200F660D148C7</vt:lpwstr>
  </property>
</Properties>
</file>