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E999F" w14:textId="3BA8A5A8" w:rsidR="00774083" w:rsidRPr="0004745D" w:rsidRDefault="00774083" w:rsidP="00DB350C">
      <w:pPr>
        <w:pStyle w:val="Heading1"/>
        <w:tabs>
          <w:tab w:val="right" w:pos="10080"/>
        </w:tabs>
        <w:spacing w:before="120"/>
        <w:rPr>
          <w:sz w:val="16"/>
          <w:szCs w:val="16"/>
        </w:rPr>
      </w:pPr>
      <w:bookmarkStart w:id="0" w:name="_Toc372795939"/>
      <w:r>
        <w:t>Introduction</w:t>
      </w:r>
      <w:bookmarkEnd w:id="0"/>
      <w:r w:rsidR="00EE5D26">
        <w:tab/>
      </w:r>
    </w:p>
    <w:p w14:paraId="5C6E99A0" w14:textId="537CDD2B" w:rsidR="00774083" w:rsidRPr="003D74C7" w:rsidRDefault="003D74C7" w:rsidP="003D74C7">
      <w:pPr>
        <w:jc w:val="right"/>
        <w:rPr>
          <w:b/>
        </w:rPr>
      </w:pPr>
      <w:r w:rsidRPr="003D74C7">
        <w:rPr>
          <w:b/>
          <w:sz w:val="16"/>
          <w:szCs w:val="16"/>
        </w:rPr>
        <w:t>(Eff</w:t>
      </w:r>
      <w:r>
        <w:rPr>
          <w:b/>
          <w:sz w:val="16"/>
          <w:szCs w:val="16"/>
        </w:rPr>
        <w:t>.</w:t>
      </w:r>
      <w:r w:rsidRPr="003D74C7">
        <w:rPr>
          <w:b/>
          <w:sz w:val="16"/>
          <w:szCs w:val="16"/>
        </w:rPr>
        <w:t xml:space="preserve"> 01/01/14)</w:t>
      </w:r>
    </w:p>
    <w:p w14:paraId="5C6E99A1" w14:textId="16AD9C4A" w:rsidR="00774083" w:rsidRDefault="00D96BC5" w:rsidP="006F74C8">
      <w:pPr>
        <w:jc w:val="both"/>
      </w:pPr>
      <w:r>
        <w:t xml:space="preserve">Effective January 1, 2014, Medicaid for families, pregnant women and children is determined according to the policies and procedures defined in </w:t>
      </w:r>
      <w:r w:rsidRPr="00D96BC5">
        <w:t>The Patient Protection and Affordable Care Act of 2010</w:t>
      </w:r>
      <w:r>
        <w:t xml:space="preserve">, also known as the Affordable Care Act (ACA). </w:t>
      </w:r>
      <w:r w:rsidR="00515DB4">
        <w:t>The Medicaid categories rel</w:t>
      </w:r>
      <w:bookmarkStart w:id="1" w:name="_GoBack"/>
      <w:bookmarkEnd w:id="1"/>
      <w:r w:rsidR="00515DB4">
        <w:t xml:space="preserve">ated to this group have been combined to simplify the structure, reduce the number of categories, and standardize eligibility </w:t>
      </w:r>
      <w:r w:rsidR="003B6DD2">
        <w:t>between</w:t>
      </w:r>
      <w:r w:rsidR="00515DB4">
        <w:t xml:space="preserve"> states. </w:t>
      </w:r>
      <w:r w:rsidR="003B6DD2" w:rsidRPr="003B6DD2">
        <w:t xml:space="preserve">Modified Adjusted Gross Income (MAGI) methodology </w:t>
      </w:r>
      <w:r w:rsidR="003B6DD2">
        <w:t xml:space="preserve">will be used, impacting </w:t>
      </w:r>
      <w:r>
        <w:t xml:space="preserve">income </w:t>
      </w:r>
      <w:r w:rsidR="003B6DD2">
        <w:t>counting; creation of households;</w:t>
      </w:r>
      <w:r w:rsidR="003B6DD2" w:rsidRPr="003B6DD2">
        <w:t xml:space="preserve"> </w:t>
      </w:r>
      <w:r w:rsidR="003B6DD2">
        <w:t>and eliminates income disregards</w:t>
      </w:r>
      <w:r>
        <w:t xml:space="preserve">. </w:t>
      </w:r>
      <w:r w:rsidR="003B6DD2">
        <w:t>With the elimination of income disregards</w:t>
      </w:r>
      <w:r w:rsidR="002030D9">
        <w:t xml:space="preserve">, states were required to determine the average disregard </w:t>
      </w:r>
      <w:r w:rsidR="003B6DD2">
        <w:t>applied</w:t>
      </w:r>
      <w:r w:rsidR="002030D9">
        <w:t xml:space="preserve"> within specific categories and to adjust the </w:t>
      </w:r>
      <w:r w:rsidR="006F74C8">
        <w:t>corresponding</w:t>
      </w:r>
      <w:r w:rsidR="002030D9">
        <w:t xml:space="preserve"> income limit to account for the average. </w:t>
      </w:r>
      <w:r w:rsidR="003B6DD2">
        <w:t xml:space="preserve">Also there will no longer be an asset test, or resource limit, used to determine eligibility for these groups. </w:t>
      </w:r>
      <w:r w:rsidR="002030D9">
        <w:t xml:space="preserve">The following table </w:t>
      </w:r>
      <w:r w:rsidR="006F74C8">
        <w:t>highlights the changes to the various programs.</w:t>
      </w:r>
      <w:r w:rsidR="003B6DD2" w:rsidRPr="003B6DD2">
        <w:t xml:space="preserve"> </w:t>
      </w:r>
    </w:p>
    <w:p w14:paraId="5C6E99A2" w14:textId="77777777" w:rsidR="006F74C8" w:rsidRDefault="006F74C8"/>
    <w:p w14:paraId="5C6E99A3" w14:textId="77777777" w:rsidR="006F74C8" w:rsidRPr="004934BF" w:rsidRDefault="006F74C8" w:rsidP="00DD51D6">
      <w:pPr>
        <w:rPr>
          <w:b/>
        </w:rPr>
      </w:pPr>
      <w:bookmarkStart w:id="2" w:name="_Toc369615203"/>
      <w:r w:rsidRPr="004934BF">
        <w:rPr>
          <w:b/>
        </w:rPr>
        <w:t>Table 1: MAGI Eligibility Categories</w:t>
      </w:r>
      <w:bookmarkEnd w:id="2"/>
    </w:p>
    <w:tbl>
      <w:tblPr>
        <w:tblStyle w:val="MediumShading1-Accent1"/>
        <w:tblW w:w="5000" w:type="pct"/>
        <w:tblLook w:val="04A0" w:firstRow="1" w:lastRow="0" w:firstColumn="1" w:lastColumn="0" w:noHBand="0" w:noVBand="1"/>
      </w:tblPr>
      <w:tblGrid>
        <w:gridCol w:w="2296"/>
        <w:gridCol w:w="1542"/>
        <w:gridCol w:w="1351"/>
        <w:gridCol w:w="1973"/>
        <w:gridCol w:w="1703"/>
        <w:gridCol w:w="1431"/>
      </w:tblGrid>
      <w:tr w:rsidR="002030D9" w:rsidRPr="002030D9" w14:paraId="5C6E99A6" w14:textId="77777777" w:rsidTr="00AA1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pct"/>
            <w:gridSpan w:val="3"/>
            <w:tcBorders>
              <w:right w:val="single" w:sz="36" w:space="0" w:color="auto"/>
            </w:tcBorders>
            <w:vAlign w:val="center"/>
          </w:tcPr>
          <w:p w14:paraId="5C6E99A4" w14:textId="77777777" w:rsidR="002030D9" w:rsidRPr="002030D9" w:rsidRDefault="002030D9" w:rsidP="002030D9">
            <w:pPr>
              <w:jc w:val="center"/>
              <w:rPr>
                <w:rFonts w:cs="Arial"/>
                <w:bCs w:val="0"/>
                <w:szCs w:val="24"/>
              </w:rPr>
            </w:pPr>
            <w:r w:rsidRPr="002030D9">
              <w:rPr>
                <w:rFonts w:cs="Arial"/>
                <w:bCs w:val="0"/>
                <w:szCs w:val="24"/>
              </w:rPr>
              <w:t>2013</w:t>
            </w:r>
          </w:p>
        </w:tc>
        <w:tc>
          <w:tcPr>
            <w:tcW w:w="2480" w:type="pct"/>
            <w:gridSpan w:val="3"/>
            <w:tcBorders>
              <w:left w:val="single" w:sz="36" w:space="0" w:color="auto"/>
            </w:tcBorders>
            <w:vAlign w:val="center"/>
          </w:tcPr>
          <w:p w14:paraId="5C6E99A5" w14:textId="77777777" w:rsidR="002030D9" w:rsidRPr="002030D9" w:rsidRDefault="002030D9" w:rsidP="002030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24"/>
              </w:rPr>
            </w:pPr>
            <w:r w:rsidRPr="002030D9">
              <w:rPr>
                <w:rFonts w:cs="Arial"/>
                <w:bCs w:val="0"/>
                <w:szCs w:val="24"/>
              </w:rPr>
              <w:t>2014</w:t>
            </w:r>
          </w:p>
        </w:tc>
      </w:tr>
      <w:tr w:rsidR="002030D9" w:rsidRPr="00D96BC5" w14:paraId="5C6E99AD" w14:textId="77777777" w:rsidTr="00AA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Align w:val="center"/>
          </w:tcPr>
          <w:p w14:paraId="5C6E99A7" w14:textId="77777777" w:rsidR="00D96BC5" w:rsidRPr="00D96BC5" w:rsidRDefault="00D96BC5" w:rsidP="00AA19B8">
            <w:pPr>
              <w:jc w:val="center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Category</w:t>
            </w:r>
          </w:p>
        </w:tc>
        <w:tc>
          <w:tcPr>
            <w:tcW w:w="749" w:type="pct"/>
            <w:vAlign w:val="center"/>
          </w:tcPr>
          <w:p w14:paraId="5C6E99A8" w14:textId="77777777" w:rsidR="00D96BC5" w:rsidRPr="00D96BC5" w:rsidRDefault="00D96BC5" w:rsidP="00AA1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D96BC5">
              <w:rPr>
                <w:rFonts w:cs="Arial"/>
                <w:b/>
                <w:bCs/>
                <w:sz w:val="22"/>
              </w:rPr>
              <w:t>FPL Limit</w:t>
            </w:r>
          </w:p>
        </w:tc>
        <w:tc>
          <w:tcPr>
            <w:tcW w:w="656" w:type="pct"/>
            <w:tcBorders>
              <w:right w:val="single" w:sz="36" w:space="0" w:color="auto"/>
            </w:tcBorders>
          </w:tcPr>
          <w:p w14:paraId="5C6E99A9" w14:textId="77777777" w:rsidR="00D96BC5" w:rsidRPr="00D96BC5" w:rsidRDefault="00D96BC5" w:rsidP="00AA1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D96BC5">
              <w:rPr>
                <w:rFonts w:cs="Arial"/>
                <w:b/>
                <w:bCs/>
                <w:sz w:val="22"/>
              </w:rPr>
              <w:t>Resources Counted?</w:t>
            </w:r>
          </w:p>
        </w:tc>
        <w:tc>
          <w:tcPr>
            <w:tcW w:w="958" w:type="pct"/>
            <w:tcBorders>
              <w:left w:val="single" w:sz="36" w:space="0" w:color="auto"/>
            </w:tcBorders>
            <w:vAlign w:val="center"/>
          </w:tcPr>
          <w:p w14:paraId="5C6E99AA" w14:textId="77777777" w:rsidR="00D96BC5" w:rsidRPr="00D96BC5" w:rsidRDefault="00D96BC5" w:rsidP="00AA1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D96BC5">
              <w:rPr>
                <w:rFonts w:cs="Arial"/>
                <w:b/>
                <w:bCs/>
                <w:sz w:val="22"/>
              </w:rPr>
              <w:t>Category</w:t>
            </w:r>
          </w:p>
        </w:tc>
        <w:tc>
          <w:tcPr>
            <w:tcW w:w="827" w:type="pct"/>
            <w:vAlign w:val="center"/>
          </w:tcPr>
          <w:p w14:paraId="5C6E99AB" w14:textId="77777777" w:rsidR="00D96BC5" w:rsidRPr="00D96BC5" w:rsidRDefault="00D96BC5" w:rsidP="00AA1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D96BC5">
              <w:rPr>
                <w:rFonts w:cs="Arial"/>
                <w:b/>
                <w:bCs/>
                <w:sz w:val="22"/>
              </w:rPr>
              <w:t>FPL Limit</w:t>
            </w:r>
          </w:p>
        </w:tc>
        <w:tc>
          <w:tcPr>
            <w:tcW w:w="695" w:type="pct"/>
          </w:tcPr>
          <w:p w14:paraId="5C6E99AC" w14:textId="77777777" w:rsidR="00D96BC5" w:rsidRPr="00D96BC5" w:rsidRDefault="00D96BC5" w:rsidP="00AA1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D96BC5">
              <w:rPr>
                <w:rFonts w:cs="Arial"/>
                <w:b/>
                <w:bCs/>
                <w:sz w:val="22"/>
              </w:rPr>
              <w:t>Resources Counted?</w:t>
            </w:r>
          </w:p>
        </w:tc>
      </w:tr>
      <w:tr w:rsidR="002030D9" w:rsidRPr="00D96BC5" w14:paraId="5C6E99B4" w14:textId="77777777" w:rsidTr="00AA1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Align w:val="center"/>
          </w:tcPr>
          <w:p w14:paraId="5C6E99AE" w14:textId="77777777" w:rsidR="00D96BC5" w:rsidRPr="00D96BC5" w:rsidRDefault="00D96BC5" w:rsidP="00D96BC5">
            <w:pPr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Optional Coverage for (Pregnant) Women/Infants (OCWI)</w:t>
            </w:r>
          </w:p>
        </w:tc>
        <w:tc>
          <w:tcPr>
            <w:tcW w:w="749" w:type="pct"/>
            <w:vAlign w:val="center"/>
          </w:tcPr>
          <w:p w14:paraId="5C6E99AF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185%</w:t>
            </w:r>
          </w:p>
        </w:tc>
        <w:tc>
          <w:tcPr>
            <w:tcW w:w="656" w:type="pct"/>
            <w:tcBorders>
              <w:right w:val="single" w:sz="36" w:space="0" w:color="auto"/>
            </w:tcBorders>
            <w:vAlign w:val="center"/>
          </w:tcPr>
          <w:p w14:paraId="5C6E99B0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YES</w:t>
            </w:r>
          </w:p>
        </w:tc>
        <w:tc>
          <w:tcPr>
            <w:tcW w:w="958" w:type="pct"/>
            <w:tcBorders>
              <w:left w:val="single" w:sz="36" w:space="0" w:color="auto"/>
            </w:tcBorders>
            <w:vAlign w:val="center"/>
          </w:tcPr>
          <w:p w14:paraId="5C6E99B1" w14:textId="0121042A" w:rsidR="00D96BC5" w:rsidRPr="00D96BC5" w:rsidRDefault="00D96BC5" w:rsidP="00DC1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b/>
                <w:sz w:val="22"/>
              </w:rPr>
              <w:t xml:space="preserve">Pregnant Women </w:t>
            </w:r>
            <w:r w:rsidR="00DC1EA1">
              <w:rPr>
                <w:rFonts w:cs="Arial"/>
                <w:b/>
                <w:sz w:val="22"/>
              </w:rPr>
              <w:t>(PW</w:t>
            </w:r>
            <w:r w:rsidR="004C5DBE">
              <w:rPr>
                <w:rFonts w:cs="Arial"/>
                <w:b/>
                <w:sz w:val="22"/>
              </w:rPr>
              <w:t xml:space="preserve">) </w:t>
            </w:r>
            <w:r w:rsidRPr="00D96BC5">
              <w:rPr>
                <w:rFonts w:cs="Arial"/>
                <w:b/>
                <w:sz w:val="22"/>
              </w:rPr>
              <w:t xml:space="preserve">and </w:t>
            </w:r>
            <w:r w:rsidR="00DC1EA1">
              <w:rPr>
                <w:rFonts w:cs="Arial"/>
                <w:b/>
                <w:sz w:val="22"/>
              </w:rPr>
              <w:t>Infants</w:t>
            </w:r>
          </w:p>
        </w:tc>
        <w:tc>
          <w:tcPr>
            <w:tcW w:w="827" w:type="pct"/>
            <w:vAlign w:val="center"/>
          </w:tcPr>
          <w:p w14:paraId="5C6E99B2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194%</w:t>
            </w:r>
          </w:p>
        </w:tc>
        <w:tc>
          <w:tcPr>
            <w:tcW w:w="695" w:type="pct"/>
            <w:vAlign w:val="center"/>
          </w:tcPr>
          <w:p w14:paraId="5C6E99B3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NO</w:t>
            </w:r>
          </w:p>
        </w:tc>
      </w:tr>
      <w:tr w:rsidR="00D96BC5" w:rsidRPr="00D96BC5" w14:paraId="5C6E99BB" w14:textId="77777777" w:rsidTr="00AA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Align w:val="center"/>
          </w:tcPr>
          <w:p w14:paraId="5C6E99B5" w14:textId="77777777" w:rsidR="00D96BC5" w:rsidRPr="00D96BC5" w:rsidRDefault="00D96BC5" w:rsidP="00D96BC5">
            <w:pPr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Family Planning</w:t>
            </w:r>
          </w:p>
        </w:tc>
        <w:tc>
          <w:tcPr>
            <w:tcW w:w="749" w:type="pct"/>
            <w:vAlign w:val="center"/>
          </w:tcPr>
          <w:p w14:paraId="5C6E99B6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185%</w:t>
            </w:r>
          </w:p>
        </w:tc>
        <w:tc>
          <w:tcPr>
            <w:tcW w:w="656" w:type="pct"/>
            <w:tcBorders>
              <w:right w:val="single" w:sz="36" w:space="0" w:color="auto"/>
            </w:tcBorders>
            <w:vAlign w:val="center"/>
          </w:tcPr>
          <w:p w14:paraId="5C6E99B7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sz w:val="22"/>
              </w:rPr>
              <w:t>YES</w:t>
            </w:r>
          </w:p>
        </w:tc>
        <w:tc>
          <w:tcPr>
            <w:tcW w:w="958" w:type="pct"/>
            <w:tcBorders>
              <w:left w:val="single" w:sz="36" w:space="0" w:color="auto"/>
            </w:tcBorders>
            <w:vAlign w:val="center"/>
          </w:tcPr>
          <w:p w14:paraId="5C6E99B8" w14:textId="10A10039" w:rsidR="00D96BC5" w:rsidRPr="00D96BC5" w:rsidRDefault="00D96BC5" w:rsidP="00D96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b/>
                <w:sz w:val="22"/>
              </w:rPr>
              <w:t>Family Planning</w:t>
            </w:r>
            <w:r w:rsidR="00DC1EA1">
              <w:rPr>
                <w:rFonts w:cs="Arial"/>
                <w:b/>
                <w:sz w:val="22"/>
              </w:rPr>
              <w:t xml:space="preserve"> (FP)</w:t>
            </w:r>
          </w:p>
        </w:tc>
        <w:tc>
          <w:tcPr>
            <w:tcW w:w="827" w:type="pct"/>
            <w:vAlign w:val="center"/>
          </w:tcPr>
          <w:p w14:paraId="5C6E99B9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194%</w:t>
            </w:r>
          </w:p>
        </w:tc>
        <w:tc>
          <w:tcPr>
            <w:tcW w:w="695" w:type="pct"/>
            <w:vAlign w:val="center"/>
          </w:tcPr>
          <w:p w14:paraId="5C6E99BA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NO</w:t>
            </w:r>
          </w:p>
        </w:tc>
      </w:tr>
      <w:tr w:rsidR="002030D9" w:rsidRPr="00D96BC5" w14:paraId="5C6E99C2" w14:textId="77777777" w:rsidTr="00AA1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Align w:val="center"/>
          </w:tcPr>
          <w:p w14:paraId="5C6E99BC" w14:textId="77777777" w:rsidR="00D96BC5" w:rsidRPr="00D96BC5" w:rsidRDefault="00D96BC5" w:rsidP="00D96BC5">
            <w:pPr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Partners for Healthy Children (PHC)*</w:t>
            </w:r>
          </w:p>
        </w:tc>
        <w:tc>
          <w:tcPr>
            <w:tcW w:w="749" w:type="pct"/>
            <w:vAlign w:val="center"/>
          </w:tcPr>
          <w:p w14:paraId="5C6E99BD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200%</w:t>
            </w:r>
          </w:p>
        </w:tc>
        <w:tc>
          <w:tcPr>
            <w:tcW w:w="656" w:type="pct"/>
            <w:tcBorders>
              <w:right w:val="single" w:sz="36" w:space="0" w:color="auto"/>
            </w:tcBorders>
            <w:vAlign w:val="center"/>
          </w:tcPr>
          <w:p w14:paraId="5C6E99BE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sz w:val="22"/>
              </w:rPr>
              <w:t>YES</w:t>
            </w:r>
          </w:p>
        </w:tc>
        <w:tc>
          <w:tcPr>
            <w:tcW w:w="958" w:type="pct"/>
            <w:tcBorders>
              <w:left w:val="single" w:sz="36" w:space="0" w:color="auto"/>
            </w:tcBorders>
            <w:vAlign w:val="center"/>
          </w:tcPr>
          <w:p w14:paraId="5C6E99BF" w14:textId="7743E7DE" w:rsidR="00D96BC5" w:rsidRPr="00D96BC5" w:rsidRDefault="00AA19B8" w:rsidP="00D96B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Partners for Healthy </w:t>
            </w:r>
            <w:r w:rsidR="00D96BC5" w:rsidRPr="00D96BC5">
              <w:rPr>
                <w:rFonts w:cs="Arial"/>
                <w:b/>
                <w:sz w:val="22"/>
              </w:rPr>
              <w:t>Children</w:t>
            </w:r>
            <w:r>
              <w:rPr>
                <w:rFonts w:cs="Arial"/>
                <w:b/>
                <w:sz w:val="22"/>
              </w:rPr>
              <w:t xml:space="preserve"> (PHC)</w:t>
            </w:r>
          </w:p>
        </w:tc>
        <w:tc>
          <w:tcPr>
            <w:tcW w:w="827" w:type="pct"/>
            <w:vAlign w:val="center"/>
          </w:tcPr>
          <w:p w14:paraId="5C6E99C0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208%</w:t>
            </w:r>
          </w:p>
        </w:tc>
        <w:tc>
          <w:tcPr>
            <w:tcW w:w="695" w:type="pct"/>
            <w:vAlign w:val="center"/>
          </w:tcPr>
          <w:p w14:paraId="5C6E99C1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NO</w:t>
            </w:r>
          </w:p>
        </w:tc>
      </w:tr>
      <w:tr w:rsidR="00D96BC5" w:rsidRPr="00D96BC5" w14:paraId="5C6E99C9" w14:textId="77777777" w:rsidTr="00AA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Align w:val="center"/>
          </w:tcPr>
          <w:p w14:paraId="5C6E99C3" w14:textId="77777777" w:rsidR="00D96BC5" w:rsidRPr="00D96BC5" w:rsidRDefault="00D96BC5" w:rsidP="00D96BC5">
            <w:pPr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Low Income Families (LIF)</w:t>
            </w:r>
          </w:p>
        </w:tc>
        <w:tc>
          <w:tcPr>
            <w:tcW w:w="749" w:type="pct"/>
            <w:vAlign w:val="center"/>
          </w:tcPr>
          <w:p w14:paraId="5C6E99C4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50%</w:t>
            </w:r>
          </w:p>
        </w:tc>
        <w:tc>
          <w:tcPr>
            <w:tcW w:w="656" w:type="pct"/>
            <w:tcBorders>
              <w:right w:val="single" w:sz="36" w:space="0" w:color="auto"/>
            </w:tcBorders>
            <w:vAlign w:val="center"/>
          </w:tcPr>
          <w:p w14:paraId="5C6E99C5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sz w:val="22"/>
              </w:rPr>
              <w:t>YES</w:t>
            </w:r>
          </w:p>
        </w:tc>
        <w:tc>
          <w:tcPr>
            <w:tcW w:w="958" w:type="pct"/>
            <w:tcBorders>
              <w:left w:val="single" w:sz="36" w:space="0" w:color="auto"/>
            </w:tcBorders>
            <w:vAlign w:val="center"/>
          </w:tcPr>
          <w:p w14:paraId="5C6E99C6" w14:textId="472AA741" w:rsidR="00D96BC5" w:rsidRPr="00D96BC5" w:rsidRDefault="00D96BC5" w:rsidP="00433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b/>
                <w:sz w:val="22"/>
              </w:rPr>
              <w:t>Parent</w:t>
            </w:r>
            <w:r w:rsidR="00433620">
              <w:rPr>
                <w:rFonts w:cs="Arial"/>
                <w:b/>
                <w:sz w:val="22"/>
              </w:rPr>
              <w:t>/</w:t>
            </w:r>
            <w:r w:rsidRPr="00D96BC5">
              <w:rPr>
                <w:rFonts w:cs="Arial"/>
                <w:b/>
                <w:sz w:val="22"/>
              </w:rPr>
              <w:t xml:space="preserve"> Caretaker Relatives</w:t>
            </w:r>
            <w:r w:rsidR="00AA19B8">
              <w:rPr>
                <w:rFonts w:cs="Arial"/>
                <w:b/>
                <w:sz w:val="22"/>
              </w:rPr>
              <w:t xml:space="preserve"> (PCR)</w:t>
            </w:r>
          </w:p>
        </w:tc>
        <w:tc>
          <w:tcPr>
            <w:tcW w:w="827" w:type="pct"/>
            <w:vAlign w:val="center"/>
          </w:tcPr>
          <w:p w14:paraId="5C6E99C7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62%</w:t>
            </w:r>
          </w:p>
        </w:tc>
        <w:tc>
          <w:tcPr>
            <w:tcW w:w="695" w:type="pct"/>
            <w:vAlign w:val="center"/>
          </w:tcPr>
          <w:p w14:paraId="5C6E99C8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NO</w:t>
            </w:r>
          </w:p>
        </w:tc>
      </w:tr>
      <w:tr w:rsidR="002030D9" w:rsidRPr="00D96BC5" w14:paraId="5C6E99D0" w14:textId="77777777" w:rsidTr="00AA1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Align w:val="center"/>
          </w:tcPr>
          <w:p w14:paraId="5C6E99CA" w14:textId="77777777" w:rsidR="00D96BC5" w:rsidRPr="00D96BC5" w:rsidRDefault="00D96BC5" w:rsidP="00D96BC5">
            <w:pPr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Regular Foster Care-RFC</w:t>
            </w:r>
          </w:p>
        </w:tc>
        <w:tc>
          <w:tcPr>
            <w:tcW w:w="749" w:type="pct"/>
            <w:vAlign w:val="center"/>
          </w:tcPr>
          <w:p w14:paraId="5C6E99CB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50%</w:t>
            </w:r>
          </w:p>
        </w:tc>
        <w:tc>
          <w:tcPr>
            <w:tcW w:w="656" w:type="pct"/>
            <w:tcBorders>
              <w:right w:val="single" w:sz="36" w:space="0" w:color="auto"/>
            </w:tcBorders>
            <w:vAlign w:val="center"/>
          </w:tcPr>
          <w:p w14:paraId="5C6E99CC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sz w:val="22"/>
              </w:rPr>
              <w:t>YES</w:t>
            </w:r>
          </w:p>
        </w:tc>
        <w:tc>
          <w:tcPr>
            <w:tcW w:w="958" w:type="pct"/>
            <w:tcBorders>
              <w:left w:val="single" w:sz="36" w:space="0" w:color="auto"/>
            </w:tcBorders>
            <w:vAlign w:val="center"/>
          </w:tcPr>
          <w:p w14:paraId="5C6E99CD" w14:textId="5BBDA96B" w:rsidR="00D96BC5" w:rsidRPr="00D96BC5" w:rsidRDefault="00D96BC5" w:rsidP="00AA1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b/>
                <w:sz w:val="22"/>
              </w:rPr>
              <w:t>Regular Foster Care</w:t>
            </w:r>
            <w:r w:rsidR="00AA19B8">
              <w:rPr>
                <w:rFonts w:cs="Arial"/>
                <w:b/>
                <w:sz w:val="22"/>
              </w:rPr>
              <w:t xml:space="preserve"> (</w:t>
            </w:r>
            <w:r w:rsidRPr="00D96BC5">
              <w:rPr>
                <w:rFonts w:cs="Arial"/>
                <w:b/>
                <w:sz w:val="22"/>
              </w:rPr>
              <w:t>RFC</w:t>
            </w:r>
            <w:r w:rsidR="00AA19B8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827" w:type="pct"/>
            <w:vAlign w:val="center"/>
          </w:tcPr>
          <w:p w14:paraId="5C6E99CE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62%</w:t>
            </w:r>
          </w:p>
        </w:tc>
        <w:tc>
          <w:tcPr>
            <w:tcW w:w="695" w:type="pct"/>
            <w:vAlign w:val="center"/>
          </w:tcPr>
          <w:p w14:paraId="5C6E99CF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NO</w:t>
            </w:r>
          </w:p>
        </w:tc>
      </w:tr>
      <w:tr w:rsidR="00D96BC5" w:rsidRPr="00D96BC5" w14:paraId="5C6E99D7" w14:textId="77777777" w:rsidTr="00AA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Align w:val="center"/>
          </w:tcPr>
          <w:p w14:paraId="5C6E99D1" w14:textId="77777777" w:rsidR="00D96BC5" w:rsidRPr="00D96BC5" w:rsidRDefault="00D96BC5" w:rsidP="00D96BC5">
            <w:pPr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Subsidized Adoption</w:t>
            </w:r>
          </w:p>
        </w:tc>
        <w:tc>
          <w:tcPr>
            <w:tcW w:w="749" w:type="pct"/>
            <w:vAlign w:val="center"/>
          </w:tcPr>
          <w:p w14:paraId="5C6E99D2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50%</w:t>
            </w:r>
          </w:p>
        </w:tc>
        <w:tc>
          <w:tcPr>
            <w:tcW w:w="656" w:type="pct"/>
            <w:tcBorders>
              <w:right w:val="single" w:sz="36" w:space="0" w:color="auto"/>
            </w:tcBorders>
            <w:vAlign w:val="center"/>
          </w:tcPr>
          <w:p w14:paraId="5C6E99D3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sz w:val="22"/>
              </w:rPr>
              <w:t>YES</w:t>
            </w:r>
          </w:p>
        </w:tc>
        <w:tc>
          <w:tcPr>
            <w:tcW w:w="958" w:type="pct"/>
            <w:tcBorders>
              <w:left w:val="single" w:sz="36" w:space="0" w:color="auto"/>
            </w:tcBorders>
            <w:vAlign w:val="center"/>
          </w:tcPr>
          <w:p w14:paraId="5C6E99D4" w14:textId="77777777" w:rsidR="00D96BC5" w:rsidRPr="00D96BC5" w:rsidRDefault="00D96BC5" w:rsidP="00D96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b/>
                <w:sz w:val="22"/>
              </w:rPr>
              <w:t>Subsidized Adoption</w:t>
            </w:r>
          </w:p>
        </w:tc>
        <w:tc>
          <w:tcPr>
            <w:tcW w:w="827" w:type="pct"/>
            <w:vAlign w:val="center"/>
          </w:tcPr>
          <w:p w14:paraId="5C6E99D5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62%</w:t>
            </w:r>
          </w:p>
        </w:tc>
        <w:tc>
          <w:tcPr>
            <w:tcW w:w="695" w:type="pct"/>
            <w:vAlign w:val="center"/>
          </w:tcPr>
          <w:p w14:paraId="5C6E99D6" w14:textId="77777777" w:rsidR="00D96BC5" w:rsidRPr="00D96BC5" w:rsidRDefault="00D96BC5" w:rsidP="006F7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NO</w:t>
            </w:r>
          </w:p>
        </w:tc>
      </w:tr>
      <w:tr w:rsidR="002030D9" w:rsidRPr="00D96BC5" w14:paraId="5C6E99DE" w14:textId="77777777" w:rsidTr="00AA1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Align w:val="center"/>
          </w:tcPr>
          <w:p w14:paraId="5C6E99D8" w14:textId="77777777" w:rsidR="00D96BC5" w:rsidRPr="00D96BC5" w:rsidRDefault="00D96BC5" w:rsidP="00D96BC5">
            <w:pPr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N/A</w:t>
            </w:r>
          </w:p>
        </w:tc>
        <w:tc>
          <w:tcPr>
            <w:tcW w:w="749" w:type="pct"/>
            <w:vAlign w:val="center"/>
          </w:tcPr>
          <w:p w14:paraId="5C6E99D9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N/A</w:t>
            </w:r>
          </w:p>
        </w:tc>
        <w:tc>
          <w:tcPr>
            <w:tcW w:w="656" w:type="pct"/>
            <w:tcBorders>
              <w:right w:val="single" w:sz="36" w:space="0" w:color="auto"/>
            </w:tcBorders>
            <w:vAlign w:val="center"/>
          </w:tcPr>
          <w:p w14:paraId="5C6E99DA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sz w:val="22"/>
              </w:rPr>
              <w:t>N/A</w:t>
            </w:r>
          </w:p>
        </w:tc>
        <w:tc>
          <w:tcPr>
            <w:tcW w:w="958" w:type="pct"/>
            <w:tcBorders>
              <w:left w:val="single" w:sz="36" w:space="0" w:color="auto"/>
            </w:tcBorders>
            <w:vAlign w:val="center"/>
          </w:tcPr>
          <w:p w14:paraId="5C6E99DB" w14:textId="77777777" w:rsidR="00D96BC5" w:rsidRPr="00D96BC5" w:rsidRDefault="00D96BC5" w:rsidP="00D96B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b/>
                <w:sz w:val="22"/>
              </w:rPr>
              <w:t>Former Foster Care up to age 26</w:t>
            </w:r>
          </w:p>
        </w:tc>
        <w:tc>
          <w:tcPr>
            <w:tcW w:w="827" w:type="pct"/>
            <w:vAlign w:val="center"/>
          </w:tcPr>
          <w:p w14:paraId="5C6E99DC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D96BC5">
              <w:rPr>
                <w:rFonts w:cs="Arial"/>
                <w:sz w:val="22"/>
              </w:rPr>
              <w:t>No financial test</w:t>
            </w:r>
          </w:p>
        </w:tc>
        <w:tc>
          <w:tcPr>
            <w:tcW w:w="695" w:type="pct"/>
            <w:vAlign w:val="center"/>
          </w:tcPr>
          <w:p w14:paraId="5C6E99DD" w14:textId="77777777" w:rsidR="00D96BC5" w:rsidRPr="00D96BC5" w:rsidRDefault="00D96BC5" w:rsidP="006F74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D96BC5">
              <w:rPr>
                <w:rFonts w:cs="Arial"/>
                <w:sz w:val="22"/>
              </w:rPr>
              <w:t>NO</w:t>
            </w:r>
          </w:p>
        </w:tc>
      </w:tr>
    </w:tbl>
    <w:p w14:paraId="5C6E99DF" w14:textId="77777777" w:rsidR="00D96BC5" w:rsidRDefault="00D96BC5"/>
    <w:p w14:paraId="7D20CDB9" w14:textId="38F2D0E5" w:rsidR="00225B16" w:rsidRDefault="00225B16">
      <w:r>
        <w:t>Eligibility for other Medicaid categories that do not utilize MAGI methodology can be found in Sections 300, 400, and 500 of the Medicaid Policy and Procedures Manual.</w:t>
      </w:r>
    </w:p>
    <w:p w14:paraId="0C70A05E" w14:textId="77777777" w:rsidR="00790C7F" w:rsidRDefault="00790C7F"/>
    <w:p w14:paraId="37B3B744" w14:textId="77777777" w:rsidR="00790C7F" w:rsidRDefault="00790C7F">
      <w:pPr>
        <w:spacing w:after="200" w:line="276" w:lineRule="auto"/>
      </w:pPr>
      <w:r>
        <w:br w:type="page"/>
      </w:r>
    </w:p>
    <w:p w14:paraId="064A449F" w14:textId="57C4E5E0" w:rsidR="00790C7F" w:rsidRDefault="00790C7F"/>
    <w:p w14:paraId="5A20914F" w14:textId="77777777" w:rsidR="00225B16" w:rsidRDefault="00225B16"/>
    <w:p w14:paraId="5C6E99E0" w14:textId="1954FB0E" w:rsidR="00DD51D6" w:rsidRDefault="00225B16">
      <w:r>
        <w:t xml:space="preserve">The following chapters contain the </w:t>
      </w:r>
      <w:r w:rsidR="008A43C2">
        <w:t>policy, procedures and processes</w:t>
      </w:r>
      <w:r>
        <w:t xml:space="preserve"> necessary to apply MAGI methodology and the eligibility categories that are impacted</w:t>
      </w:r>
      <w:r w:rsidR="008A43C2">
        <w:t>.</w:t>
      </w:r>
    </w:p>
    <w:p w14:paraId="5C6E99E6" w14:textId="77777777" w:rsidR="00276825" w:rsidRDefault="00276825"/>
    <w:tbl>
      <w:tblPr>
        <w:tblStyle w:val="MediumShading1-Accent1"/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790C7F" w:rsidRPr="00433620" w14:paraId="4E177730" w14:textId="77777777" w:rsidTr="0079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CC28D7F" w14:textId="1CB5969D" w:rsidR="00790C7F" w:rsidRPr="00433620" w:rsidRDefault="00790C7F" w:rsidP="00790C7F">
            <w:pPr>
              <w:jc w:val="center"/>
              <w:rPr>
                <w:sz w:val="22"/>
              </w:rPr>
            </w:pPr>
            <w:r w:rsidRPr="00790C7F">
              <w:rPr>
                <w:sz w:val="22"/>
              </w:rPr>
              <w:t>Chapter</w:t>
            </w:r>
          </w:p>
        </w:tc>
        <w:tc>
          <w:tcPr>
            <w:tcW w:w="2500" w:type="pct"/>
          </w:tcPr>
          <w:p w14:paraId="5EBB2F6E" w14:textId="7D5FBFC7" w:rsidR="00790C7F" w:rsidRPr="00433620" w:rsidRDefault="00790C7F" w:rsidP="00790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90C7F">
              <w:rPr>
                <w:sz w:val="22"/>
              </w:rPr>
              <w:t>Description</w:t>
            </w:r>
          </w:p>
        </w:tc>
      </w:tr>
      <w:tr w:rsidR="00433620" w:rsidRPr="00433620" w14:paraId="568C1C35" w14:textId="79DEA70F" w:rsidTr="007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A4079C4" w14:textId="77777777" w:rsidR="00225B16" w:rsidRPr="00433620" w:rsidRDefault="00225B16" w:rsidP="002452E9">
            <w:pPr>
              <w:rPr>
                <w:b w:val="0"/>
                <w:sz w:val="22"/>
              </w:rPr>
            </w:pPr>
            <w:r w:rsidRPr="00433620">
              <w:rPr>
                <w:b w:val="0"/>
                <w:sz w:val="22"/>
              </w:rPr>
              <w:t>Chapter 202 – MAGI – Household Composition</w:t>
            </w:r>
          </w:p>
        </w:tc>
        <w:tc>
          <w:tcPr>
            <w:tcW w:w="2500" w:type="pct"/>
          </w:tcPr>
          <w:p w14:paraId="6DBBE7E0" w14:textId="057FD6CD" w:rsidR="00225B16" w:rsidRPr="00433620" w:rsidRDefault="00225B16" w:rsidP="0024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433620">
              <w:rPr>
                <w:sz w:val="22"/>
              </w:rPr>
              <w:t>Provides details on how to create a Household using MAGI methodology</w:t>
            </w:r>
          </w:p>
        </w:tc>
      </w:tr>
      <w:tr w:rsidR="00433620" w:rsidRPr="00433620" w14:paraId="53A16088" w14:textId="33EB2F8E" w:rsidTr="00790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230C72" w14:textId="77777777" w:rsidR="00225B16" w:rsidRPr="00433620" w:rsidRDefault="00225B16" w:rsidP="002452E9">
            <w:pPr>
              <w:rPr>
                <w:b w:val="0"/>
                <w:sz w:val="22"/>
              </w:rPr>
            </w:pPr>
            <w:r w:rsidRPr="00433620">
              <w:rPr>
                <w:b w:val="0"/>
                <w:sz w:val="22"/>
              </w:rPr>
              <w:t>Chapter 203 – MAGI – Income and Budgeting</w:t>
            </w:r>
          </w:p>
        </w:tc>
        <w:tc>
          <w:tcPr>
            <w:tcW w:w="2500" w:type="pct"/>
          </w:tcPr>
          <w:p w14:paraId="608C16E7" w14:textId="4C215385" w:rsidR="00225B16" w:rsidRPr="00433620" w:rsidRDefault="00225B16" w:rsidP="00245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433620">
              <w:rPr>
                <w:sz w:val="22"/>
              </w:rPr>
              <w:t>P</w:t>
            </w:r>
            <w:r w:rsidR="00D67494" w:rsidRPr="00433620">
              <w:rPr>
                <w:sz w:val="22"/>
              </w:rPr>
              <w:t>rovides details on how income is counted and budgeted under MAGI methodology</w:t>
            </w:r>
          </w:p>
        </w:tc>
      </w:tr>
      <w:tr w:rsidR="00433620" w:rsidRPr="00433620" w14:paraId="54A418DB" w14:textId="2D2BD9AC" w:rsidTr="007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101298E" w14:textId="77777777" w:rsidR="00225B16" w:rsidRPr="00433620" w:rsidRDefault="00225B16" w:rsidP="002452E9">
            <w:pPr>
              <w:rPr>
                <w:b w:val="0"/>
                <w:sz w:val="22"/>
              </w:rPr>
            </w:pPr>
            <w:r w:rsidRPr="00433620">
              <w:rPr>
                <w:b w:val="0"/>
                <w:sz w:val="22"/>
              </w:rPr>
              <w:t>Chapter 204 – MAGI – Eligibility Categories</w:t>
            </w:r>
          </w:p>
        </w:tc>
        <w:tc>
          <w:tcPr>
            <w:tcW w:w="2500" w:type="pct"/>
          </w:tcPr>
          <w:p w14:paraId="064A79E6" w14:textId="569712C0" w:rsidR="00225B16" w:rsidRPr="00433620" w:rsidRDefault="00D67494" w:rsidP="0024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33620">
              <w:rPr>
                <w:sz w:val="22"/>
              </w:rPr>
              <w:t>Describes the eligibility categories that use MAGI methodology</w:t>
            </w:r>
          </w:p>
        </w:tc>
      </w:tr>
      <w:tr w:rsidR="00433620" w:rsidRPr="00433620" w14:paraId="475BB26E" w14:textId="6A3DFEBD" w:rsidTr="00790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65A7588" w14:textId="6C300321" w:rsidR="00225B16" w:rsidRPr="00433620" w:rsidRDefault="00225B16" w:rsidP="00D67494">
            <w:pPr>
              <w:rPr>
                <w:b w:val="0"/>
                <w:sz w:val="22"/>
              </w:rPr>
            </w:pPr>
            <w:r w:rsidRPr="00433620">
              <w:rPr>
                <w:b w:val="0"/>
                <w:sz w:val="22"/>
              </w:rPr>
              <w:t xml:space="preserve">Chapter 205 – </w:t>
            </w:r>
            <w:r w:rsidR="00D67494" w:rsidRPr="00433620">
              <w:rPr>
                <w:b w:val="0"/>
                <w:sz w:val="22"/>
              </w:rPr>
              <w:t xml:space="preserve">MAGI – </w:t>
            </w:r>
            <w:r w:rsidRPr="00433620">
              <w:rPr>
                <w:b w:val="0"/>
                <w:sz w:val="22"/>
              </w:rPr>
              <w:t>Appendix A –</w:t>
            </w:r>
            <w:r w:rsidR="008A43C2">
              <w:rPr>
                <w:b w:val="0"/>
                <w:sz w:val="22"/>
              </w:rPr>
              <w:t xml:space="preserve"> </w:t>
            </w:r>
            <w:r w:rsidRPr="00433620">
              <w:rPr>
                <w:b w:val="0"/>
                <w:sz w:val="22"/>
              </w:rPr>
              <w:t>Definitions and Acronyms</w:t>
            </w:r>
          </w:p>
        </w:tc>
        <w:tc>
          <w:tcPr>
            <w:tcW w:w="2500" w:type="pct"/>
          </w:tcPr>
          <w:p w14:paraId="67627558" w14:textId="2808650C" w:rsidR="00225B16" w:rsidRPr="00433620" w:rsidRDefault="00D67494" w:rsidP="00D674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433620">
              <w:rPr>
                <w:sz w:val="22"/>
              </w:rPr>
              <w:t>Defines various terms, concepts, and acronyms under MAGI methodology.</w:t>
            </w:r>
          </w:p>
        </w:tc>
      </w:tr>
      <w:tr w:rsidR="00433620" w:rsidRPr="00433620" w14:paraId="56CEADA9" w14:textId="29931823" w:rsidTr="007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3D8FF81" w14:textId="547429C3" w:rsidR="00225B16" w:rsidRPr="00433620" w:rsidRDefault="00225B16" w:rsidP="00D67494">
            <w:pPr>
              <w:rPr>
                <w:b w:val="0"/>
                <w:sz w:val="22"/>
              </w:rPr>
            </w:pPr>
            <w:r w:rsidRPr="00433620">
              <w:rPr>
                <w:b w:val="0"/>
                <w:sz w:val="22"/>
              </w:rPr>
              <w:t xml:space="preserve">Chapter 206 – </w:t>
            </w:r>
            <w:r w:rsidR="00D67494" w:rsidRPr="00433620">
              <w:rPr>
                <w:b w:val="0"/>
                <w:sz w:val="22"/>
              </w:rPr>
              <w:t xml:space="preserve">MAGI – </w:t>
            </w:r>
            <w:r w:rsidRPr="00433620">
              <w:rPr>
                <w:b w:val="0"/>
                <w:sz w:val="22"/>
              </w:rPr>
              <w:t>Appendix B –</w:t>
            </w:r>
            <w:r w:rsidR="008A43C2">
              <w:rPr>
                <w:b w:val="0"/>
                <w:sz w:val="22"/>
              </w:rPr>
              <w:t xml:space="preserve"> </w:t>
            </w:r>
            <w:r w:rsidRPr="00433620">
              <w:rPr>
                <w:b w:val="0"/>
                <w:sz w:val="22"/>
              </w:rPr>
              <w:t>Application Process</w:t>
            </w:r>
          </w:p>
        </w:tc>
        <w:tc>
          <w:tcPr>
            <w:tcW w:w="2500" w:type="pct"/>
          </w:tcPr>
          <w:p w14:paraId="0B11C013" w14:textId="2BE9234F" w:rsidR="00225B16" w:rsidRPr="00433620" w:rsidRDefault="00D67494" w:rsidP="0024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33620">
              <w:rPr>
                <w:sz w:val="22"/>
              </w:rPr>
              <w:t>Describes the application process for MAGI categories utilizing ACCESS</w:t>
            </w:r>
          </w:p>
        </w:tc>
      </w:tr>
    </w:tbl>
    <w:p w14:paraId="766E4652" w14:textId="7BA3B308" w:rsidR="00F057F7" w:rsidRDefault="00F057F7" w:rsidP="00225B16"/>
    <w:p w14:paraId="5C6E99EF" w14:textId="77777777" w:rsidR="00276825" w:rsidRDefault="00276825"/>
    <w:sectPr w:rsidR="00276825" w:rsidSect="00774083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7926" w14:textId="77777777" w:rsidR="00B218A3" w:rsidRDefault="00B218A3" w:rsidP="00774083">
      <w:r>
        <w:separator/>
      </w:r>
    </w:p>
  </w:endnote>
  <w:endnote w:type="continuationSeparator" w:id="0">
    <w:p w14:paraId="5FD0914D" w14:textId="77777777" w:rsidR="00B218A3" w:rsidRDefault="00B218A3" w:rsidP="00774083">
      <w:r>
        <w:continuationSeparator/>
      </w:r>
    </w:p>
  </w:endnote>
  <w:endnote w:type="continuationNotice" w:id="1">
    <w:p w14:paraId="5BB362ED" w14:textId="77777777" w:rsidR="00E16AC8" w:rsidRDefault="00E16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1ECDF" w14:textId="77777777" w:rsidR="00B218A3" w:rsidRDefault="00B218A3" w:rsidP="00774083">
      <w:r>
        <w:separator/>
      </w:r>
    </w:p>
  </w:footnote>
  <w:footnote w:type="continuationSeparator" w:id="0">
    <w:p w14:paraId="62408B5A" w14:textId="77777777" w:rsidR="00B218A3" w:rsidRDefault="00B218A3" w:rsidP="00774083">
      <w:r>
        <w:continuationSeparator/>
      </w:r>
    </w:p>
  </w:footnote>
  <w:footnote w:type="continuationNotice" w:id="1">
    <w:p w14:paraId="344D1511" w14:textId="77777777" w:rsidR="00E16AC8" w:rsidRDefault="00E16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5677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6E99F8" w14:textId="77777777" w:rsidR="00774083" w:rsidRPr="00774083" w:rsidRDefault="00774083" w:rsidP="00774083">
        <w:pPr>
          <w:tabs>
            <w:tab w:val="center" w:pos="4680"/>
          </w:tabs>
          <w:jc w:val="center"/>
          <w:rPr>
            <w:rFonts w:eastAsia="Times New Roman" w:cs="Arial"/>
            <w:b/>
            <w:szCs w:val="24"/>
          </w:rPr>
        </w:pPr>
        <w:r w:rsidRPr="00774083">
          <w:rPr>
            <w:rFonts w:eastAsia="Times New Roman" w:cs="Arial"/>
            <w:b/>
            <w:szCs w:val="24"/>
          </w:rPr>
          <w:t>SOUTH CAROLINA DEPARTMENT OF HEALTH AND HUMAN SERVICES</w:t>
        </w:r>
      </w:p>
      <w:p w14:paraId="5C6E99F9" w14:textId="77777777" w:rsidR="00774083" w:rsidRPr="00774083" w:rsidRDefault="00774083" w:rsidP="00774083">
        <w:pPr>
          <w:keepNext/>
          <w:tabs>
            <w:tab w:val="center" w:pos="4680"/>
          </w:tabs>
          <w:jc w:val="center"/>
          <w:outlineLvl w:val="4"/>
          <w:rPr>
            <w:rFonts w:eastAsia="Times New Roman" w:cs="Arial"/>
            <w:b/>
            <w:szCs w:val="24"/>
          </w:rPr>
        </w:pPr>
        <w:r w:rsidRPr="00774083">
          <w:rPr>
            <w:rFonts w:eastAsia="Times New Roman" w:cs="Arial"/>
            <w:b/>
            <w:szCs w:val="24"/>
          </w:rPr>
          <w:t>MEDICAID POLICY AND PROCEDURES MANUAL</w:t>
        </w:r>
      </w:p>
      <w:p w14:paraId="5C6E99FA" w14:textId="77777777" w:rsidR="00774083" w:rsidRPr="00774083" w:rsidRDefault="00774083" w:rsidP="00774083">
        <w:pPr>
          <w:rPr>
            <w:rFonts w:eastAsia="Times New Roman" w:cs="Arial"/>
            <w:b/>
            <w:bCs/>
            <w:szCs w:val="24"/>
          </w:rPr>
        </w:pPr>
      </w:p>
      <w:p w14:paraId="5C6E99FB" w14:textId="77777777" w:rsidR="00774083" w:rsidRPr="00774083" w:rsidRDefault="00774083" w:rsidP="00774083">
        <w:pPr>
          <w:rPr>
            <w:rFonts w:eastAsia="Times New Roman" w:cs="Arial"/>
            <w:b/>
            <w:szCs w:val="24"/>
          </w:rPr>
        </w:pPr>
        <w:r w:rsidRPr="00774083">
          <w:rPr>
            <w:rFonts w:eastAsia="Times New Roman" w:cs="Arial"/>
            <w:b/>
            <w:szCs w:val="24"/>
          </w:rPr>
          <w:t>CHAPTER 201 – MAGI Introduction</w:t>
        </w:r>
      </w:p>
      <w:p w14:paraId="5C6E99FC" w14:textId="68CD0817" w:rsidR="00774083" w:rsidRDefault="00774083" w:rsidP="00F057F7">
        <w:pPr>
          <w:pStyle w:val="Header"/>
          <w:pBdr>
            <w:bottom w:val="single" w:sz="24" w:space="1" w:color="auto"/>
          </w:pBdr>
          <w:tabs>
            <w:tab w:val="clear" w:pos="4680"/>
          </w:tabs>
          <w:spacing w:after="120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83"/>
    <w:rsid w:val="0004745D"/>
    <w:rsid w:val="00162364"/>
    <w:rsid w:val="001C2911"/>
    <w:rsid w:val="002030D9"/>
    <w:rsid w:val="00225B16"/>
    <w:rsid w:val="00276825"/>
    <w:rsid w:val="002D592B"/>
    <w:rsid w:val="00314944"/>
    <w:rsid w:val="003366A1"/>
    <w:rsid w:val="003B6DD2"/>
    <w:rsid w:val="003D74C7"/>
    <w:rsid w:val="00433620"/>
    <w:rsid w:val="0048762D"/>
    <w:rsid w:val="004934BF"/>
    <w:rsid w:val="00497F52"/>
    <w:rsid w:val="004B47AD"/>
    <w:rsid w:val="004C5DBE"/>
    <w:rsid w:val="00507E74"/>
    <w:rsid w:val="00515DB4"/>
    <w:rsid w:val="00524286"/>
    <w:rsid w:val="006B77F3"/>
    <w:rsid w:val="006C4CDD"/>
    <w:rsid w:val="006F74C8"/>
    <w:rsid w:val="00705188"/>
    <w:rsid w:val="00774083"/>
    <w:rsid w:val="00790C7F"/>
    <w:rsid w:val="00890465"/>
    <w:rsid w:val="008A43C2"/>
    <w:rsid w:val="00AA19B8"/>
    <w:rsid w:val="00B218A3"/>
    <w:rsid w:val="00B84354"/>
    <w:rsid w:val="00BF6596"/>
    <w:rsid w:val="00C57DE5"/>
    <w:rsid w:val="00D30684"/>
    <w:rsid w:val="00D67494"/>
    <w:rsid w:val="00D96BC5"/>
    <w:rsid w:val="00DB350C"/>
    <w:rsid w:val="00DC1EA1"/>
    <w:rsid w:val="00DC7748"/>
    <w:rsid w:val="00DD51D6"/>
    <w:rsid w:val="00E16AC8"/>
    <w:rsid w:val="00EE5D26"/>
    <w:rsid w:val="00F057F7"/>
    <w:rsid w:val="00F51619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6E999F"/>
  <w15:docId w15:val="{CA0BC11D-C613-46E4-BC55-A8CD3374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9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08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83"/>
  </w:style>
  <w:style w:type="paragraph" w:styleId="Footer">
    <w:name w:val="footer"/>
    <w:basedOn w:val="Normal"/>
    <w:link w:val="FooterChar"/>
    <w:uiPriority w:val="99"/>
    <w:unhideWhenUsed/>
    <w:rsid w:val="0077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83"/>
  </w:style>
  <w:style w:type="character" w:customStyle="1" w:styleId="Heading1Char">
    <w:name w:val="Heading 1 Char"/>
    <w:basedOn w:val="DefaultParagraphFont"/>
    <w:link w:val="Heading1"/>
    <w:uiPriority w:val="9"/>
    <w:rsid w:val="00774083"/>
    <w:rPr>
      <w:rFonts w:ascii="Arial" w:eastAsiaTheme="majorEastAsia" w:hAnsi="Arial" w:cstheme="majorBidi"/>
      <w:b/>
      <w:bCs/>
      <w:sz w:val="28"/>
      <w:szCs w:val="28"/>
    </w:rPr>
  </w:style>
  <w:style w:type="table" w:styleId="MediumShading1-Accent1">
    <w:name w:val="Medium Shading 1 Accent 1"/>
    <w:basedOn w:val="TableNormal"/>
    <w:uiPriority w:val="63"/>
    <w:rsid w:val="00D96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1D6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51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51D6"/>
    <w:pPr>
      <w:tabs>
        <w:tab w:val="right" w:leader="dot" w:pos="1007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DD51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6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62D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2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674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F51619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F516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781d7c-6070-4b3e-ab1f-f71bff812929">R2UUKJDZ4VCH-2180-261</_dlc_DocId>
    <_dlc_DocIdUrl xmlns="10781d7c-6070-4b3e-ab1f-f71bff812929">
      <Url>https://team.scdhhs.gov/pmo/ProjectRepository/1211207/_layouts/DocIdRedir.aspx?ID=R2UUKJDZ4VCH-2180-261</Url>
      <Description>R2UUKJDZ4VCH-2180-261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3D8D5C9595A48BA8AB0A9150E9134" ma:contentTypeVersion="13" ma:contentTypeDescription="Create a new document." ma:contentTypeScope="" ma:versionID="0a6a2c0bc43a82e9da860af69c81739e">
  <xsd:schema xmlns:xsd="http://www.w3.org/2001/XMLSchema" xmlns:xs="http://www.w3.org/2001/XMLSchema" xmlns:p="http://schemas.microsoft.com/office/2006/metadata/properties" xmlns:ns2="10781d7c-6070-4b3e-ab1f-f71bff812929" targetNamespace="http://schemas.microsoft.com/office/2006/metadata/properties" ma:root="true" ma:fieldsID="a779a20aca05ef422c47dac4806042cb" ns2:_="">
    <xsd:import namespace="10781d7c-6070-4b3e-ab1f-f71bff812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1d7c-6070-4b3e-ab1f-f71bff8129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EF04-04E4-4A9E-B761-CF4A11C04F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018C26-715B-466D-9798-BAE078629F74}">
  <ds:schemaRefs>
    <ds:schemaRef ds:uri="http://purl.org/dc/elements/1.1/"/>
    <ds:schemaRef ds:uri="http://purl.org/dc/dcmitype/"/>
    <ds:schemaRef ds:uri="http://www.w3.org/XML/1998/namespace"/>
    <ds:schemaRef ds:uri="10781d7c-6070-4b3e-ab1f-f71bff81292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B9810F-3F51-46F3-B5C7-4C3958FF2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299FE-D85D-4B9C-89B5-9A3620D65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81d7c-6070-4b3e-ab1f-f71bff812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6946B3-8A9C-4BDB-8222-8B3112DE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Dept of Health and Human Services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201 - MAGI Introduction</dc:title>
  <dc:creator>Julius Covington</dc:creator>
  <cp:lastModifiedBy>Julius Covington</cp:lastModifiedBy>
  <cp:revision>21</cp:revision>
  <cp:lastPrinted>2013-11-21T16:35:00Z</cp:lastPrinted>
  <dcterms:created xsi:type="dcterms:W3CDTF">2013-11-22T20:59:00Z</dcterms:created>
  <dcterms:modified xsi:type="dcterms:W3CDTF">2014-08-07T14:51:00Z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0x01010069A3D8D5C9595A48BA8AB0A9150E9134</vt:lpwstr>
  </property>
  <property fmtid="{D5CDD505-2E9C-101B-9397-08002B2CF9AE}" pid="3" name="_dlc_DocIdItemGuid">
    <vt:lpwstr>3476be41-4bdc-4e61-929e-08fafc3abca8</vt:lpwstr>
  </property>
</Properties>
</file>